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87AC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AEFF8D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1CA1D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9176D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288F8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ABAE8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8A5D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960FA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60C39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36B3D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EE10A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2E5B0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AC3D4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AA863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F5CE3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95796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254C6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7C7AE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07246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5770F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F2B33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0FFBB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79843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ADBBA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49C2A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B8255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32AC1E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573AB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EE61413">
      <w:pPr>
        <w:spacing w:line="200" w:lineRule="exact"/>
      </w:pPr>
      <w:r>
        <w:rPr>
          <w:rFonts w:ascii="方正黑体_GBK" w:hAnsi="方正黑体_GBK" w:eastAsia="方正黑体_GBK" w:cs="宋体"/>
          <w:b/>
          <w:sz w:val="13"/>
          <w:szCs w:val="20"/>
        </w:rPr>
        <w:t xml:space="preserve">    1.债券类资产投资风险</w:t>
      </w:r>
    </w:p>
    <w:p w14:paraId="5368EBF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66C4E4C">
      <w:pPr>
        <w:spacing w:line="200" w:lineRule="exact"/>
      </w:pPr>
      <w:r>
        <w:rPr>
          <w:rFonts w:ascii="方正黑体_GBK" w:hAnsi="方正黑体_GBK" w:eastAsia="方正黑体_GBK" w:cs="宋体"/>
          <w:b/>
          <w:sz w:val="13"/>
          <w:szCs w:val="20"/>
        </w:rPr>
        <w:t xml:space="preserve">    2.非标准化债权类资产投资风险</w:t>
      </w:r>
    </w:p>
    <w:p w14:paraId="59647EB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4F554B6">
      <w:pPr>
        <w:spacing w:line="200" w:lineRule="exact"/>
      </w:pPr>
      <w:r>
        <w:rPr>
          <w:rFonts w:ascii="方正黑体_GBK" w:hAnsi="方正黑体_GBK" w:eastAsia="方正黑体_GBK" w:cs="宋体"/>
          <w:b/>
          <w:sz w:val="13"/>
          <w:szCs w:val="20"/>
        </w:rPr>
        <w:t xml:space="preserve">    3.资产管理产品投资风险</w:t>
      </w:r>
    </w:p>
    <w:p w14:paraId="1D94C4F1">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63270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06EE99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3A1B7AD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DCEF3A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F0639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5EBF9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E575E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5D472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51E28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35A99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25BF4F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D06ACE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71D51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2B126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27CD6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B525C1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A2C50D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1AE36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45EBA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1545B4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A6AC21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0A7A4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5F6E6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A52F3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A590C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B7797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E55E8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8CDDE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424CF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62CE9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ACCE59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706F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52129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10288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CF072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09661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4CB49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CDE4D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044FF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6E87A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092B0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DABC6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35F9F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14089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9A516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5C81934">
      <w:r>
        <w:rPr>
          <w:rFonts w:ascii="方正黑体_GBK" w:hAnsi="方正黑体_GBK" w:eastAsia="方正黑体_GBK"/>
        </w:rPr>
        <w:br w:type="page"/>
      </w:r>
    </w:p>
    <w:p w14:paraId="5CFB50F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18BA64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555BE7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93833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FBE63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BAAA8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南银理财珠联璧合安稳1910一年定开公募人民币理财产品</w:t>
            </w:r>
          </w:p>
        </w:tc>
      </w:tr>
      <w:tr w14:paraId="34910D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144AD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F0368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1C750C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8C286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C926C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7616E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3DD53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9A89D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ZC108691944637</w:t>
            </w:r>
          </w:p>
        </w:tc>
      </w:tr>
      <w:tr w14:paraId="5C32D7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DF19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4B402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Z7003221000021(投资者可依据该编码在中国理财网www.chinawealth.com.cn查询理财产品相关信息）</w:t>
            </w:r>
          </w:p>
        </w:tc>
      </w:tr>
      <w:tr w14:paraId="3B876E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2BA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2B805BF">
            <w:pPr>
              <w:spacing w:line="200" w:lineRule="exact"/>
            </w:pPr>
            <w:r>
              <w:rPr>
                <w:rFonts w:ascii="方正黑体_GBK" w:hAnsi="方正黑体_GBK" w:eastAsia="方正黑体_GBK" w:cs="宋体"/>
                <w:sz w:val="18"/>
                <w:szCs w:val="18"/>
              </w:rPr>
              <w:t>A份额：Z30006</w:t>
            </w:r>
          </w:p>
          <w:p w14:paraId="46E16F13">
            <w:pPr>
              <w:spacing w:line="200" w:lineRule="exact"/>
            </w:pPr>
            <w:r>
              <w:rPr>
                <w:rFonts w:ascii="方正黑体_GBK" w:hAnsi="方正黑体_GBK" w:eastAsia="方正黑体_GBK" w:cs="宋体"/>
                <w:sz w:val="18"/>
                <w:szCs w:val="18"/>
              </w:rPr>
              <w:t>C份额：Z31006</w:t>
            </w:r>
          </w:p>
          <w:p w14:paraId="135CB843">
            <w:pPr>
              <w:spacing w:line="200" w:lineRule="exact"/>
            </w:pPr>
            <w:r>
              <w:rPr>
                <w:rFonts w:ascii="方正黑体_GBK" w:hAnsi="方正黑体_GBK" w:eastAsia="方正黑体_GBK" w:cs="宋体"/>
                <w:sz w:val="18"/>
                <w:szCs w:val="18"/>
              </w:rPr>
              <w:t>E份额：Z32006</w:t>
            </w:r>
          </w:p>
          <w:p w14:paraId="5C05DB40">
            <w:pPr>
              <w:spacing w:line="200" w:lineRule="exact"/>
            </w:pPr>
            <w:r>
              <w:rPr>
                <w:rFonts w:ascii="方正黑体_GBK" w:hAnsi="方正黑体_GBK" w:eastAsia="方正黑体_GBK" w:cs="宋体"/>
                <w:sz w:val="18"/>
                <w:szCs w:val="18"/>
              </w:rPr>
              <w:t>G份额：Z33006</w:t>
            </w:r>
          </w:p>
          <w:p w14:paraId="21BD9465">
            <w:pPr>
              <w:spacing w:line="200" w:lineRule="exact"/>
            </w:pPr>
            <w:r>
              <w:rPr>
                <w:rFonts w:ascii="方正黑体_GBK" w:hAnsi="方正黑体_GBK" w:eastAsia="方正黑体_GBK" w:cs="宋体"/>
                <w:sz w:val="18"/>
                <w:szCs w:val="18"/>
              </w:rPr>
              <w:t>B2份额：ZB31006</w:t>
            </w:r>
          </w:p>
          <w:p w14:paraId="17ED2390">
            <w:pPr>
              <w:spacing w:line="200" w:lineRule="exact"/>
            </w:pPr>
            <w:r>
              <w:rPr>
                <w:rFonts w:ascii="方正黑体_GBK" w:hAnsi="方正黑体_GBK" w:eastAsia="方正黑体_GBK" w:cs="宋体"/>
                <w:sz w:val="18"/>
                <w:szCs w:val="18"/>
              </w:rPr>
              <w:t>C2份额：ZC31006</w:t>
            </w:r>
          </w:p>
          <w:p w14:paraId="0A586267">
            <w:pPr>
              <w:spacing w:line="200" w:lineRule="exact"/>
            </w:pPr>
            <w:r>
              <w:rPr>
                <w:rFonts w:ascii="方正黑体_GBK" w:hAnsi="方正黑体_GBK" w:eastAsia="方正黑体_GBK" w:cs="宋体"/>
                <w:sz w:val="18"/>
                <w:szCs w:val="18"/>
              </w:rPr>
              <w:t>D2份额：ZD31006</w:t>
            </w:r>
          </w:p>
          <w:p w14:paraId="00CC7A2B">
            <w:pPr>
              <w:spacing w:line="200" w:lineRule="exact"/>
            </w:pPr>
            <w:r>
              <w:rPr>
                <w:rFonts w:ascii="方正黑体_GBK" w:hAnsi="方正黑体_GBK" w:eastAsia="方正黑体_GBK" w:cs="宋体"/>
                <w:sz w:val="18"/>
                <w:szCs w:val="18"/>
              </w:rPr>
              <w:t>E2份额：ZE31006</w:t>
            </w:r>
          </w:p>
          <w:p w14:paraId="0295926F">
            <w:pPr>
              <w:spacing w:line="200" w:lineRule="exact"/>
            </w:pPr>
            <w:r>
              <w:rPr>
                <w:rFonts w:ascii="方正黑体_GBK" w:hAnsi="方正黑体_GBK" w:eastAsia="方正黑体_GBK" w:cs="宋体"/>
                <w:sz w:val="18"/>
                <w:szCs w:val="18"/>
              </w:rPr>
              <w:t>B3份额：ZB32006</w:t>
            </w:r>
          </w:p>
          <w:p w14:paraId="66A42838">
            <w:pPr>
              <w:spacing w:line="200" w:lineRule="exact"/>
            </w:pPr>
            <w:r>
              <w:rPr>
                <w:rFonts w:ascii="方正黑体_GBK" w:hAnsi="方正黑体_GBK" w:eastAsia="方正黑体_GBK" w:cs="宋体"/>
                <w:sz w:val="18"/>
                <w:szCs w:val="18"/>
              </w:rPr>
              <w:t>C3份额：ZC32006</w:t>
            </w:r>
          </w:p>
          <w:p w14:paraId="7E31F3F1">
            <w:pPr>
              <w:spacing w:line="200" w:lineRule="exact"/>
            </w:pPr>
            <w:r>
              <w:rPr>
                <w:rFonts w:ascii="方正黑体_GBK" w:hAnsi="方正黑体_GBK" w:eastAsia="方正黑体_GBK" w:cs="宋体"/>
                <w:sz w:val="18"/>
                <w:szCs w:val="18"/>
              </w:rPr>
              <w:t>D3份额：ZD32006</w:t>
            </w:r>
          </w:p>
          <w:p w14:paraId="0271FAAA">
            <w:pPr>
              <w:spacing w:line="200" w:lineRule="exact"/>
            </w:pPr>
            <w:r>
              <w:rPr>
                <w:rFonts w:ascii="方正黑体_GBK" w:hAnsi="方正黑体_GBK" w:eastAsia="方正黑体_GBK" w:cs="宋体"/>
                <w:sz w:val="18"/>
                <w:szCs w:val="18"/>
              </w:rPr>
              <w:t>E3份额：ZE32006</w:t>
            </w:r>
          </w:p>
          <w:p w14:paraId="1CDC9262">
            <w:pPr>
              <w:spacing w:line="200" w:lineRule="exact"/>
            </w:pPr>
            <w:r>
              <w:rPr>
                <w:rFonts w:ascii="方正黑体_GBK" w:hAnsi="方正黑体_GBK" w:eastAsia="方正黑体_GBK" w:cs="宋体"/>
                <w:sz w:val="18"/>
                <w:szCs w:val="18"/>
              </w:rPr>
              <w:t>F2份额：ZF31006</w:t>
            </w:r>
          </w:p>
          <w:p w14:paraId="4682EE41">
            <w:pPr>
              <w:spacing w:line="200" w:lineRule="exact"/>
            </w:pPr>
            <w:r>
              <w:rPr>
                <w:rFonts w:ascii="方正黑体_GBK" w:hAnsi="方正黑体_GBK" w:eastAsia="方正黑体_GBK" w:cs="宋体"/>
                <w:sz w:val="18"/>
                <w:szCs w:val="18"/>
              </w:rPr>
              <w:t>F3份额：ZF32006</w:t>
            </w:r>
          </w:p>
          <w:p w14:paraId="7B3213FA">
            <w:pPr>
              <w:spacing w:line="200" w:lineRule="exact"/>
            </w:pPr>
            <w:r>
              <w:rPr>
                <w:rFonts w:ascii="方正黑体_GBK" w:hAnsi="方正黑体_GBK" w:eastAsia="方正黑体_GBK" w:cs="宋体"/>
                <w:sz w:val="18"/>
                <w:szCs w:val="18"/>
              </w:rPr>
              <w:t>G2份额：ZG31006</w:t>
            </w:r>
          </w:p>
          <w:p w14:paraId="2063F0BD">
            <w:pPr>
              <w:spacing w:line="200" w:lineRule="exact"/>
            </w:pPr>
            <w:r>
              <w:rPr>
                <w:rFonts w:ascii="方正黑体_GBK" w:hAnsi="方正黑体_GBK" w:eastAsia="方正黑体_GBK" w:cs="宋体"/>
                <w:sz w:val="18"/>
                <w:szCs w:val="18"/>
              </w:rPr>
              <w:t>G3份额：ZG32006</w:t>
            </w:r>
          </w:p>
          <w:p w14:paraId="1CB6BFC7">
            <w:pPr>
              <w:spacing w:line="200" w:lineRule="exact"/>
            </w:pPr>
            <w:r>
              <w:rPr>
                <w:rFonts w:ascii="方正黑体_GBK" w:hAnsi="方正黑体_GBK" w:eastAsia="方正黑体_GBK" w:cs="宋体"/>
                <w:sz w:val="18"/>
                <w:szCs w:val="18"/>
              </w:rPr>
              <w:t>J2份额：ZJ31006</w:t>
            </w:r>
          </w:p>
          <w:p w14:paraId="08639DF0">
            <w:pPr>
              <w:spacing w:line="200" w:lineRule="exact"/>
            </w:pPr>
            <w:r>
              <w:rPr>
                <w:rFonts w:ascii="方正黑体_GBK" w:hAnsi="方正黑体_GBK" w:eastAsia="方正黑体_GBK" w:cs="宋体"/>
                <w:sz w:val="18"/>
                <w:szCs w:val="18"/>
              </w:rPr>
              <w:t>K2份额：ZK31006</w:t>
            </w:r>
          </w:p>
          <w:p w14:paraId="4ED7E957">
            <w:pPr>
              <w:spacing w:line="200" w:lineRule="exact"/>
            </w:pPr>
            <w:r>
              <w:rPr>
                <w:rFonts w:ascii="方正黑体_GBK" w:hAnsi="方正黑体_GBK" w:eastAsia="方正黑体_GBK" w:cs="宋体"/>
                <w:sz w:val="18"/>
                <w:szCs w:val="18"/>
              </w:rPr>
              <w:t>L2份额：ZL31006</w:t>
            </w:r>
          </w:p>
          <w:p w14:paraId="70614BCE">
            <w:pPr>
              <w:spacing w:line="200" w:lineRule="exact"/>
            </w:pPr>
            <w:r>
              <w:rPr>
                <w:rFonts w:ascii="方正黑体_GBK" w:hAnsi="方正黑体_GBK" w:eastAsia="方正黑体_GBK" w:cs="宋体"/>
                <w:sz w:val="18"/>
                <w:szCs w:val="18"/>
              </w:rPr>
              <w:t>J3份额：ZJ32006</w:t>
            </w:r>
          </w:p>
          <w:p w14:paraId="1B3A8666">
            <w:pPr>
              <w:spacing w:line="200" w:lineRule="exact"/>
            </w:pPr>
            <w:r>
              <w:rPr>
                <w:rFonts w:ascii="方正黑体_GBK" w:hAnsi="方正黑体_GBK" w:eastAsia="方正黑体_GBK" w:cs="宋体"/>
                <w:sz w:val="18"/>
                <w:szCs w:val="18"/>
              </w:rPr>
              <w:t>K3份额：ZK32006</w:t>
            </w:r>
          </w:p>
          <w:p w14:paraId="6DFE85E3">
            <w:pPr>
              <w:spacing w:line="200" w:lineRule="exact"/>
            </w:pPr>
            <w:r>
              <w:rPr>
                <w:rFonts w:ascii="方正黑体_GBK" w:hAnsi="方正黑体_GBK" w:eastAsia="方正黑体_GBK" w:cs="宋体"/>
                <w:sz w:val="18"/>
                <w:szCs w:val="18"/>
              </w:rPr>
              <w:t>L3份额：ZL32006</w:t>
            </w:r>
          </w:p>
          <w:p w14:paraId="5F6AF2B8">
            <w:pPr>
              <w:spacing w:line="200" w:lineRule="exact"/>
            </w:pPr>
            <w:r>
              <w:rPr>
                <w:rFonts w:ascii="方正黑体_GBK" w:hAnsi="方正黑体_GBK" w:eastAsia="方正黑体_GBK" w:cs="宋体"/>
                <w:sz w:val="18"/>
                <w:szCs w:val="18"/>
              </w:rPr>
              <w:t>M2份额：ZM31006</w:t>
            </w:r>
          </w:p>
          <w:p w14:paraId="03999165">
            <w:pPr>
              <w:spacing w:line="200" w:lineRule="exact"/>
            </w:pPr>
            <w:r>
              <w:rPr>
                <w:rFonts w:ascii="方正黑体_GBK" w:hAnsi="方正黑体_GBK" w:eastAsia="方正黑体_GBK" w:cs="宋体"/>
                <w:sz w:val="18"/>
                <w:szCs w:val="18"/>
              </w:rPr>
              <w:t>M3份额：ZM32006</w:t>
            </w:r>
          </w:p>
          <w:p w14:paraId="372D9120">
            <w:pPr>
              <w:spacing w:line="200" w:lineRule="exact"/>
            </w:pPr>
            <w:r>
              <w:rPr>
                <w:rFonts w:ascii="方正黑体_GBK" w:hAnsi="方正黑体_GBK" w:eastAsia="方正黑体_GBK" w:cs="宋体"/>
                <w:sz w:val="18"/>
                <w:szCs w:val="18"/>
              </w:rPr>
              <w:t>O2份额：ZO31006</w:t>
            </w:r>
          </w:p>
          <w:p w14:paraId="17B3AFFB">
            <w:pPr>
              <w:spacing w:line="200" w:lineRule="exact"/>
            </w:pPr>
            <w:r>
              <w:rPr>
                <w:rFonts w:ascii="方正黑体_GBK" w:hAnsi="方正黑体_GBK" w:eastAsia="方正黑体_GBK" w:cs="宋体"/>
                <w:sz w:val="18"/>
                <w:szCs w:val="18"/>
              </w:rPr>
              <w:t>O3份额：ZO32006</w:t>
            </w:r>
          </w:p>
          <w:p w14:paraId="3059C2C7">
            <w:pPr>
              <w:spacing w:line="200" w:lineRule="exact"/>
            </w:pPr>
            <w:r>
              <w:rPr>
                <w:rFonts w:ascii="方正黑体_GBK" w:hAnsi="方正黑体_GBK" w:eastAsia="方正黑体_GBK" w:cs="宋体"/>
                <w:sz w:val="18"/>
                <w:szCs w:val="18"/>
              </w:rPr>
              <w:t>Q1份额：ZQ30006</w:t>
            </w:r>
          </w:p>
          <w:p w14:paraId="4BFCFD5E">
            <w:pPr>
              <w:spacing w:line="200" w:lineRule="exact"/>
            </w:pPr>
            <w:r>
              <w:rPr>
                <w:rFonts w:ascii="方正黑体_GBK" w:hAnsi="方正黑体_GBK" w:eastAsia="方正黑体_GBK" w:cs="宋体"/>
                <w:sz w:val="18"/>
                <w:szCs w:val="18"/>
              </w:rPr>
              <w:t>R1份额：ZR30006</w:t>
            </w:r>
          </w:p>
          <w:p w14:paraId="6D1E72A4">
            <w:pPr>
              <w:spacing w:line="200" w:lineRule="exact"/>
            </w:pPr>
            <w:r>
              <w:rPr>
                <w:rFonts w:ascii="方正黑体_GBK" w:hAnsi="方正黑体_GBK" w:eastAsia="方正黑体_GBK" w:cs="宋体"/>
                <w:sz w:val="18"/>
                <w:szCs w:val="18"/>
              </w:rPr>
              <w:t>Q2份额：ZQ31006</w:t>
            </w:r>
          </w:p>
          <w:p w14:paraId="7B475188">
            <w:pPr>
              <w:spacing w:line="200" w:lineRule="exact"/>
            </w:pPr>
            <w:r>
              <w:rPr>
                <w:rFonts w:ascii="方正黑体_GBK" w:hAnsi="方正黑体_GBK" w:eastAsia="方正黑体_GBK" w:cs="宋体"/>
                <w:sz w:val="18"/>
                <w:szCs w:val="18"/>
              </w:rPr>
              <w:t>R2份额：ZR31006</w:t>
            </w:r>
          </w:p>
          <w:p w14:paraId="4044F812">
            <w:pPr>
              <w:spacing w:line="200" w:lineRule="exact"/>
            </w:pPr>
            <w:r>
              <w:rPr>
                <w:rFonts w:ascii="方正黑体_GBK" w:hAnsi="方正黑体_GBK" w:eastAsia="方正黑体_GBK" w:cs="宋体"/>
                <w:sz w:val="18"/>
                <w:szCs w:val="18"/>
              </w:rPr>
              <w:t>Q3份额：ZQ32006</w:t>
            </w:r>
          </w:p>
          <w:p w14:paraId="04A71626">
            <w:pPr>
              <w:spacing w:line="200" w:lineRule="exact"/>
            </w:pPr>
            <w:r>
              <w:rPr>
                <w:rFonts w:ascii="方正黑体_GBK" w:hAnsi="方正黑体_GBK" w:eastAsia="方正黑体_GBK" w:cs="宋体"/>
                <w:sz w:val="18"/>
                <w:szCs w:val="18"/>
              </w:rPr>
              <w:t>R3份额：ZR32006</w:t>
            </w:r>
          </w:p>
          <w:p w14:paraId="598E8B0B">
            <w:pPr>
              <w:spacing w:line="200" w:lineRule="exact"/>
            </w:pPr>
            <w:r>
              <w:rPr>
                <w:rFonts w:ascii="方正黑体_GBK" w:hAnsi="方正黑体_GBK" w:eastAsia="方正黑体_GBK" w:cs="宋体"/>
                <w:sz w:val="18"/>
                <w:szCs w:val="18"/>
              </w:rPr>
              <w:t>B1份额：ZB30006</w:t>
            </w:r>
          </w:p>
          <w:p w14:paraId="5A6FA383">
            <w:pPr>
              <w:spacing w:line="200" w:lineRule="exact"/>
            </w:pPr>
            <w:r>
              <w:rPr>
                <w:rFonts w:ascii="方正黑体_GBK" w:hAnsi="方正黑体_GBK" w:eastAsia="方正黑体_GBK" w:cs="宋体"/>
                <w:sz w:val="18"/>
                <w:szCs w:val="18"/>
              </w:rPr>
              <w:t>C1份额：ZC30006</w:t>
            </w:r>
          </w:p>
          <w:p w14:paraId="5E769D08">
            <w:pPr>
              <w:spacing w:line="200" w:lineRule="exact"/>
            </w:pPr>
            <w:r>
              <w:rPr>
                <w:rFonts w:ascii="方正黑体_GBK" w:hAnsi="方正黑体_GBK" w:eastAsia="方正黑体_GBK" w:cs="宋体"/>
                <w:sz w:val="18"/>
                <w:szCs w:val="18"/>
              </w:rPr>
              <w:t>D1份额：ZD30006</w:t>
            </w:r>
          </w:p>
          <w:p w14:paraId="036E4AE3">
            <w:pPr>
              <w:spacing w:line="200" w:lineRule="exact"/>
            </w:pPr>
            <w:r>
              <w:rPr>
                <w:rFonts w:ascii="方正黑体_GBK" w:hAnsi="方正黑体_GBK" w:eastAsia="方正黑体_GBK" w:cs="宋体"/>
                <w:sz w:val="18"/>
                <w:szCs w:val="18"/>
              </w:rPr>
              <w:t>E1份额：ZE30006</w:t>
            </w:r>
          </w:p>
          <w:p w14:paraId="13DD394B">
            <w:pPr>
              <w:spacing w:line="200" w:lineRule="exact"/>
            </w:pPr>
            <w:r>
              <w:rPr>
                <w:rFonts w:ascii="方正黑体_GBK" w:hAnsi="方正黑体_GBK" w:eastAsia="方正黑体_GBK" w:cs="宋体"/>
                <w:sz w:val="18"/>
                <w:szCs w:val="18"/>
              </w:rPr>
              <w:t>F1份额：ZF30006</w:t>
            </w:r>
          </w:p>
          <w:p w14:paraId="7B8EFA6E">
            <w:pPr>
              <w:spacing w:line="200" w:lineRule="exact"/>
            </w:pPr>
            <w:r>
              <w:rPr>
                <w:rFonts w:ascii="方正黑体_GBK" w:hAnsi="方正黑体_GBK" w:eastAsia="方正黑体_GBK" w:cs="宋体"/>
                <w:sz w:val="18"/>
                <w:szCs w:val="18"/>
              </w:rPr>
              <w:t>G1份额：ZG30006</w:t>
            </w:r>
          </w:p>
          <w:p w14:paraId="26DF9C09">
            <w:pPr>
              <w:spacing w:line="200" w:lineRule="exact"/>
            </w:pPr>
            <w:r>
              <w:rPr>
                <w:rFonts w:ascii="方正黑体_GBK" w:hAnsi="方正黑体_GBK" w:eastAsia="方正黑体_GBK" w:cs="宋体"/>
                <w:sz w:val="18"/>
                <w:szCs w:val="18"/>
              </w:rPr>
              <w:t>I1份额：ZI30006</w:t>
            </w:r>
          </w:p>
          <w:p w14:paraId="68D19127">
            <w:pPr>
              <w:spacing w:line="200" w:lineRule="exact"/>
            </w:pPr>
            <w:r>
              <w:rPr>
                <w:rFonts w:ascii="方正黑体_GBK" w:hAnsi="方正黑体_GBK" w:eastAsia="方正黑体_GBK" w:cs="宋体"/>
                <w:sz w:val="18"/>
                <w:szCs w:val="18"/>
              </w:rPr>
              <w:t>J1份额：ZJ30006</w:t>
            </w:r>
          </w:p>
          <w:p w14:paraId="1585CF43">
            <w:pPr>
              <w:spacing w:line="200" w:lineRule="exact"/>
            </w:pPr>
            <w:r>
              <w:rPr>
                <w:rFonts w:ascii="方正黑体_GBK" w:hAnsi="方正黑体_GBK" w:eastAsia="方正黑体_GBK" w:cs="宋体"/>
                <w:sz w:val="18"/>
                <w:szCs w:val="18"/>
              </w:rPr>
              <w:t>K1份额：ZK30006</w:t>
            </w:r>
          </w:p>
          <w:p w14:paraId="5085467E">
            <w:pPr>
              <w:spacing w:line="200" w:lineRule="exact"/>
            </w:pPr>
            <w:r>
              <w:rPr>
                <w:rFonts w:ascii="方正黑体_GBK" w:hAnsi="方正黑体_GBK" w:eastAsia="方正黑体_GBK" w:cs="宋体"/>
                <w:sz w:val="18"/>
                <w:szCs w:val="18"/>
              </w:rPr>
              <w:t>L1份额：ZL30006</w:t>
            </w:r>
          </w:p>
          <w:p w14:paraId="36DC2825">
            <w:pPr>
              <w:spacing w:line="200" w:lineRule="exact"/>
            </w:pPr>
            <w:r>
              <w:rPr>
                <w:rFonts w:ascii="方正黑体_GBK" w:hAnsi="方正黑体_GBK" w:eastAsia="方正黑体_GBK" w:cs="宋体"/>
                <w:sz w:val="18"/>
                <w:szCs w:val="18"/>
              </w:rPr>
              <w:t>M1份额：ZM30006</w:t>
            </w:r>
          </w:p>
          <w:p w14:paraId="06C0A959">
            <w:pPr>
              <w:spacing w:line="200" w:lineRule="exact"/>
            </w:pPr>
            <w:r>
              <w:rPr>
                <w:rFonts w:ascii="方正黑体_GBK" w:hAnsi="方正黑体_GBK" w:eastAsia="方正黑体_GBK" w:cs="宋体"/>
                <w:sz w:val="18"/>
                <w:szCs w:val="18"/>
              </w:rPr>
              <w:t>N1份额：ZN30006</w:t>
            </w:r>
          </w:p>
          <w:p w14:paraId="3E7FBAAF">
            <w:pPr>
              <w:spacing w:line="200" w:lineRule="exact"/>
            </w:pPr>
            <w:r>
              <w:rPr>
                <w:rFonts w:ascii="方正黑体_GBK" w:hAnsi="方正黑体_GBK" w:eastAsia="方正黑体_GBK" w:cs="宋体"/>
                <w:sz w:val="18"/>
                <w:szCs w:val="18"/>
              </w:rPr>
              <w:t>O1份额：ZO30006</w:t>
            </w:r>
          </w:p>
          <w:p w14:paraId="005BA7C8">
            <w:pPr>
              <w:spacing w:line="200" w:lineRule="exact"/>
            </w:pPr>
            <w:r>
              <w:rPr>
                <w:rFonts w:ascii="方正黑体_GBK" w:hAnsi="方正黑体_GBK" w:eastAsia="方正黑体_GBK" w:cs="宋体"/>
                <w:sz w:val="18"/>
                <w:szCs w:val="18"/>
              </w:rPr>
              <w:t>S1份额：ZS30006</w:t>
            </w:r>
          </w:p>
          <w:p w14:paraId="47CD31D6">
            <w:pPr>
              <w:spacing w:line="200" w:lineRule="exact"/>
            </w:pPr>
            <w:r>
              <w:rPr>
                <w:rFonts w:ascii="方正黑体_GBK" w:hAnsi="方正黑体_GBK" w:eastAsia="方正黑体_GBK" w:cs="宋体"/>
                <w:sz w:val="18"/>
                <w:szCs w:val="18"/>
              </w:rPr>
              <w:t>S2份额：ZS31006</w:t>
            </w:r>
          </w:p>
          <w:p w14:paraId="0F2D3E0F">
            <w:pPr>
              <w:spacing w:line="200" w:lineRule="exact"/>
            </w:pPr>
            <w:r>
              <w:rPr>
                <w:rFonts w:ascii="方正黑体_GBK" w:hAnsi="方正黑体_GBK" w:eastAsia="方正黑体_GBK" w:cs="宋体"/>
                <w:sz w:val="18"/>
                <w:szCs w:val="18"/>
              </w:rPr>
              <w:t>S3份额：ZS32006</w:t>
            </w:r>
          </w:p>
          <w:p w14:paraId="77BB078C">
            <w:pPr>
              <w:spacing w:line="200" w:lineRule="exact"/>
            </w:pPr>
            <w:r>
              <w:rPr>
                <w:rFonts w:ascii="方正黑体_GBK" w:hAnsi="方正黑体_GBK" w:eastAsia="方正黑体_GBK" w:cs="宋体"/>
                <w:sz w:val="18"/>
                <w:szCs w:val="18"/>
              </w:rPr>
              <w:t>T1份额：ZT30006</w:t>
            </w:r>
          </w:p>
          <w:p w14:paraId="350999B1">
            <w:pPr>
              <w:spacing w:line="200" w:lineRule="exact"/>
            </w:pPr>
            <w:r>
              <w:rPr>
                <w:rFonts w:ascii="方正黑体_GBK" w:hAnsi="方正黑体_GBK" w:eastAsia="方正黑体_GBK" w:cs="宋体"/>
                <w:sz w:val="18"/>
                <w:szCs w:val="18"/>
              </w:rPr>
              <w:t>T2份额：ZT31006</w:t>
            </w:r>
          </w:p>
          <w:p w14:paraId="3F54FC5E">
            <w:pPr>
              <w:spacing w:line="200" w:lineRule="exact"/>
            </w:pPr>
            <w:r>
              <w:rPr>
                <w:rFonts w:ascii="方正黑体_GBK" w:hAnsi="方正黑体_GBK" w:eastAsia="方正黑体_GBK" w:cs="宋体"/>
                <w:sz w:val="18"/>
                <w:szCs w:val="18"/>
              </w:rPr>
              <w:t>T3份额：ZT32006</w:t>
            </w:r>
          </w:p>
          <w:p w14:paraId="3AD6C432">
            <w:pPr>
              <w:spacing w:line="200" w:lineRule="exact"/>
            </w:pPr>
            <w:r>
              <w:rPr>
                <w:rFonts w:ascii="方正黑体_GBK" w:hAnsi="方正黑体_GBK" w:eastAsia="方正黑体_GBK" w:cs="宋体"/>
                <w:b/>
                <w:sz w:val="18"/>
                <w:szCs w:val="18"/>
              </w:rPr>
              <w:t>注：</w:t>
            </w:r>
            <w:r>
              <w:rPr>
                <w:rFonts w:ascii="方正黑体_GBK" w:hAnsi="方正黑体_GBK" w:eastAsia="方正黑体_GBK" w:cs="宋体"/>
                <w:b/>
                <w:i w:val="0"/>
                <w:caps w:val="0"/>
                <w:smallCaps w:val="0"/>
                <w:strike w:val="0"/>
                <w:dstrike w:val="0"/>
                <w:vanish w:val="0"/>
                <w:sz w:val="18"/>
                <w:szCs w:val="18"/>
              </w:rPr>
              <w:t>本产品不同份额针对不同的销售机构及客群进行销售，设置有不同的销售费和管理费，具体客群划分标准以销售机构为准。</w:t>
            </w:r>
            <w:bookmarkStart w:id="0" w:name="_GoBack"/>
            <w:bookmarkEnd w:id="0"/>
          </w:p>
        </w:tc>
      </w:tr>
      <w:tr w14:paraId="3F76BC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24408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6D758A2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1088DF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4F8A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6E5CFD3">
            <w:pPr>
              <w:spacing w:line="200" w:lineRule="exact"/>
            </w:pPr>
            <w:r>
              <w:rPr>
                <w:rFonts w:ascii="方正黑体_GBK" w:hAnsi="方正黑体_GBK" w:eastAsia="方正黑体_GBK" w:cs="宋体"/>
                <w:sz w:val="18"/>
                <w:szCs w:val="18"/>
              </w:rPr>
              <w:t>全国</w:t>
            </w:r>
          </w:p>
        </w:tc>
      </w:tr>
      <w:tr w14:paraId="286F19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8C8B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5A0C14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E8D87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7E6D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DAFF480">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6DFAE9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620C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8550E0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5714F4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C2D8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A703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123974A">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3AF8C03A">
            <w:pPr>
              <w:spacing w:line="200" w:lineRule="exact"/>
            </w:pPr>
            <w:r>
              <w:rPr>
                <w:rFonts w:ascii="方正黑体_GBK" w:hAnsi="方正黑体_GBK" w:eastAsia="方正黑体_GBK" w:cs="宋体"/>
                <w:sz w:val="18"/>
                <w:szCs w:val="18"/>
              </w:rPr>
              <w:t>A份额：南京银行股份有限公司、南银理财有限责任公司、日照银行股份有限公司、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14:paraId="5438DC5F">
            <w:pPr>
              <w:spacing w:line="200" w:lineRule="exact"/>
            </w:pPr>
            <w:r>
              <w:rPr>
                <w:rFonts w:ascii="方正黑体_GBK" w:hAnsi="方正黑体_GBK" w:eastAsia="方正黑体_GBK" w:cs="宋体"/>
                <w:sz w:val="18"/>
                <w:szCs w:val="18"/>
              </w:rPr>
              <w:t>C份额：南京银行股份有限公司、南银理财有限责任公司、日照银行股份有限公司、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14:paraId="0124520B">
            <w:pPr>
              <w:spacing w:line="200" w:lineRule="exact"/>
            </w:pPr>
            <w:r>
              <w:rPr>
                <w:rFonts w:ascii="方正黑体_GBK" w:hAnsi="方正黑体_GBK" w:eastAsia="方正黑体_GBK" w:cs="宋体"/>
                <w:sz w:val="18"/>
                <w:szCs w:val="18"/>
              </w:rPr>
              <w:t>E份额：南京银行股份有限公司、南银理财有限责任公司、日照银行股份有限公司、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14:paraId="505253D3">
            <w:pPr>
              <w:spacing w:line="200" w:lineRule="exact"/>
            </w:pPr>
            <w:r>
              <w:rPr>
                <w:rFonts w:ascii="方正黑体_GBK" w:hAnsi="方正黑体_GBK" w:eastAsia="方正黑体_GBK" w:cs="宋体"/>
                <w:sz w:val="18"/>
                <w:szCs w:val="18"/>
              </w:rPr>
              <w:t>G份额：南京银行股份有限公司、南银理财有限责任公司、齐鲁银行股份有限公司、九江银行股份有限公司客户。</w:t>
            </w:r>
          </w:p>
          <w:p w14:paraId="2F207C29">
            <w:pPr>
              <w:spacing w:line="200" w:lineRule="exact"/>
            </w:pPr>
            <w:r>
              <w:rPr>
                <w:rFonts w:ascii="方正黑体_GBK" w:hAnsi="方正黑体_GBK" w:eastAsia="方正黑体_GBK" w:cs="宋体"/>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14:paraId="023BFE03">
            <w:pPr>
              <w:spacing w:line="200" w:lineRule="exact"/>
            </w:pPr>
            <w:r>
              <w:rPr>
                <w:rFonts w:ascii="方正黑体_GBK" w:hAnsi="方正黑体_GBK" w:eastAsia="方正黑体_GBK" w:cs="宋体"/>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2BADBC8D">
            <w:pPr>
              <w:spacing w:line="200" w:lineRule="exact"/>
            </w:pPr>
            <w:r>
              <w:rPr>
                <w:rFonts w:ascii="方正黑体_GBK" w:hAnsi="方正黑体_GBK" w:eastAsia="方正黑体_GBK" w:cs="宋体"/>
                <w:sz w:val="18"/>
                <w:szCs w:val="18"/>
              </w:rPr>
              <w:t>D2份额：南京银行股份有限公司（新客、新资金（20万））、河北银行股份有限公司（分行特供）、秦皇岛银行股份有限公司、天津农村商业银行股份有限公司（专属客户）、云南红塔银行股份有限公司（新客户）、重庆富民银行股份有限公司、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14:paraId="076CB33C">
            <w:pPr>
              <w:spacing w:line="200" w:lineRule="exact"/>
            </w:pPr>
            <w:r>
              <w:rPr>
                <w:rFonts w:ascii="方正黑体_GBK" w:hAnsi="方正黑体_GBK" w:eastAsia="方正黑体_GBK" w:cs="宋体"/>
                <w:sz w:val="18"/>
                <w:szCs w:val="18"/>
              </w:rPr>
              <w:t>E2份额：天津农村商业银行股份有限公司（特邀客户）、云南红塔银行股份有限公司（财富300万客户）、甘肃银行股份有限公司（教师节特供）、江苏镇江农村商业银行股份有限公司（100万元起购）、江苏句容农村商业银行股份有限公司、江苏镇江农村商业银行股份有限公司、、江苏沛县农村商业银行股份有限公司（高端客户专属）、江苏海门农村商业银行股份有限公司客户。</w:t>
            </w:r>
          </w:p>
          <w:p w14:paraId="55BCF47C">
            <w:pPr>
              <w:spacing w:line="200" w:lineRule="exact"/>
            </w:pPr>
            <w:r>
              <w:rPr>
                <w:rFonts w:ascii="方正黑体_GBK" w:hAnsi="方正黑体_GBK" w:eastAsia="方正黑体_GBK" w:cs="宋体"/>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14:paraId="6AF63E88">
            <w:pPr>
              <w:spacing w:line="200" w:lineRule="exact"/>
            </w:pPr>
            <w:r>
              <w:rPr>
                <w:rFonts w:ascii="方正黑体_GBK" w:hAnsi="方正黑体_GBK" w:eastAsia="方正黑体_GBK" w:cs="宋体"/>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5F0252DE">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重庆富民银行股份有限公司、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14:paraId="6DE283CE">
            <w:pPr>
              <w:spacing w:line="200" w:lineRule="exact"/>
            </w:pPr>
            <w:r>
              <w:rPr>
                <w:rFonts w:ascii="方正黑体_GBK" w:hAnsi="方正黑体_GBK" w:eastAsia="方正黑体_GBK" w:cs="宋体"/>
                <w:sz w:val="18"/>
                <w:szCs w:val="18"/>
              </w:rPr>
              <w:t>E3份额：天津农村商业银行股份有限公司（特邀客户）、云南红塔银行股份有限公司（财富300万客户）、甘肃银行股份有限公司（教师节特供）、江苏镇江农村商业银行股份有限公司（100万元起购）、江苏句容农村商业银行股份有限公司、江苏镇江农村商业银行股份有限公司、、江苏沛县农村商业银行股份有限公司（高端客户专属）、江苏海门农村商业银行股份有限公司客户。</w:t>
            </w:r>
          </w:p>
          <w:p w14:paraId="6AFA6855">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72A8617B">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0F27D6ED">
            <w:pPr>
              <w:spacing w:line="200" w:lineRule="exact"/>
            </w:pPr>
            <w:r>
              <w:rPr>
                <w:rFonts w:ascii="方正黑体_GBK" w:hAnsi="方正黑体_GBK" w:eastAsia="方正黑体_GBK" w:cs="宋体"/>
                <w:sz w:val="18"/>
                <w:szCs w:val="18"/>
              </w:rPr>
              <w:t>G2份额：成都银行股份有限公司客户。</w:t>
            </w:r>
          </w:p>
          <w:p w14:paraId="5BD57715">
            <w:pPr>
              <w:spacing w:line="200" w:lineRule="exact"/>
            </w:pPr>
            <w:r>
              <w:rPr>
                <w:rFonts w:ascii="方正黑体_GBK" w:hAnsi="方正黑体_GBK" w:eastAsia="方正黑体_GBK" w:cs="宋体"/>
                <w:sz w:val="18"/>
                <w:szCs w:val="18"/>
              </w:rPr>
              <w:t>G3份额：成都银行股份有限公司客户。</w:t>
            </w:r>
          </w:p>
          <w:p w14:paraId="639760E0">
            <w:pPr>
              <w:spacing w:line="200" w:lineRule="exact"/>
            </w:pPr>
            <w:r>
              <w:rPr>
                <w:rFonts w:ascii="方正黑体_GBK" w:hAnsi="方正黑体_GBK" w:eastAsia="方正黑体_GBK" w:cs="宋体"/>
                <w:sz w:val="18"/>
                <w:szCs w:val="18"/>
              </w:rPr>
              <w:t>J2份额：兴业银行股份有限公司客户。</w:t>
            </w:r>
          </w:p>
          <w:p w14:paraId="1648A312">
            <w:pPr>
              <w:spacing w:line="200" w:lineRule="exact"/>
            </w:pPr>
            <w:r>
              <w:rPr>
                <w:rFonts w:ascii="方正黑体_GBK" w:hAnsi="方正黑体_GBK" w:eastAsia="方正黑体_GBK" w:cs="宋体"/>
                <w:sz w:val="18"/>
                <w:szCs w:val="18"/>
              </w:rPr>
              <w:t>K2份额：交通银行股份有限公司客户。</w:t>
            </w:r>
          </w:p>
          <w:p w14:paraId="36001F36">
            <w:pPr>
              <w:spacing w:line="200" w:lineRule="exact"/>
            </w:pPr>
            <w:r>
              <w:rPr>
                <w:rFonts w:ascii="方正黑体_GBK" w:hAnsi="方正黑体_GBK" w:eastAsia="方正黑体_GBK" w:cs="宋体"/>
                <w:sz w:val="18"/>
                <w:szCs w:val="18"/>
              </w:rPr>
              <w:t>L2份额：兴业银行股份有限公司南京分行客户。</w:t>
            </w:r>
          </w:p>
          <w:p w14:paraId="45E232C4">
            <w:pPr>
              <w:spacing w:line="200" w:lineRule="exact"/>
            </w:pPr>
            <w:r>
              <w:rPr>
                <w:rFonts w:ascii="方正黑体_GBK" w:hAnsi="方正黑体_GBK" w:eastAsia="方正黑体_GBK" w:cs="宋体"/>
                <w:sz w:val="18"/>
                <w:szCs w:val="18"/>
              </w:rPr>
              <w:t>J3份额：兴业银行股份有限公司客户。</w:t>
            </w:r>
          </w:p>
          <w:p w14:paraId="084B5FAD">
            <w:pPr>
              <w:spacing w:line="200" w:lineRule="exact"/>
            </w:pPr>
            <w:r>
              <w:rPr>
                <w:rFonts w:ascii="方正黑体_GBK" w:hAnsi="方正黑体_GBK" w:eastAsia="方正黑体_GBK" w:cs="宋体"/>
                <w:sz w:val="18"/>
                <w:szCs w:val="18"/>
              </w:rPr>
              <w:t>K3份额：交通银行股份有限公司客户。</w:t>
            </w:r>
          </w:p>
          <w:p w14:paraId="5FB588C7">
            <w:pPr>
              <w:spacing w:line="200" w:lineRule="exact"/>
            </w:pPr>
            <w:r>
              <w:rPr>
                <w:rFonts w:ascii="方正黑体_GBK" w:hAnsi="方正黑体_GBK" w:eastAsia="方正黑体_GBK" w:cs="宋体"/>
                <w:sz w:val="18"/>
                <w:szCs w:val="18"/>
              </w:rPr>
              <w:t>L3份额：兴业银行股份有限公司南京分行客户。</w:t>
            </w:r>
          </w:p>
          <w:p w14:paraId="4B0B3272">
            <w:pPr>
              <w:spacing w:line="200" w:lineRule="exact"/>
            </w:pPr>
            <w:r>
              <w:rPr>
                <w:rFonts w:ascii="方正黑体_GBK" w:hAnsi="方正黑体_GBK" w:eastAsia="方正黑体_GBK" w:cs="宋体"/>
                <w:sz w:val="18"/>
                <w:szCs w:val="18"/>
              </w:rPr>
              <w:t>M2份额：浙江民泰商业银行股份有限公司、苏州银行股份有限公司、嘉兴银行股份有限公司、宁波通商银行股份有限公司客户。</w:t>
            </w:r>
          </w:p>
          <w:p w14:paraId="634621EB">
            <w:pPr>
              <w:spacing w:line="200" w:lineRule="exact"/>
            </w:pPr>
            <w:r>
              <w:rPr>
                <w:rFonts w:ascii="方正黑体_GBK" w:hAnsi="方正黑体_GBK" w:eastAsia="方正黑体_GBK" w:cs="宋体"/>
                <w:sz w:val="18"/>
                <w:szCs w:val="18"/>
              </w:rPr>
              <w:t>M3份额：浙江民泰商业银行股份有限公司、苏州银行股份有限公司、嘉兴银行股份有限公司、宁波通商银行股份有限公司客户。</w:t>
            </w:r>
          </w:p>
          <w:p w14:paraId="6906BA9D">
            <w:pPr>
              <w:spacing w:line="200" w:lineRule="exact"/>
            </w:pPr>
            <w:r>
              <w:rPr>
                <w:rFonts w:ascii="方正黑体_GBK" w:hAnsi="方正黑体_GBK" w:eastAsia="方正黑体_GBK" w:cs="宋体"/>
                <w:sz w:val="18"/>
                <w:szCs w:val="18"/>
              </w:rPr>
              <w:t>O2份额：广发银行股份有限公司所有个人客户。</w:t>
            </w:r>
          </w:p>
          <w:p w14:paraId="6FEF2318">
            <w:pPr>
              <w:spacing w:line="200" w:lineRule="exact"/>
            </w:pPr>
            <w:r>
              <w:rPr>
                <w:rFonts w:ascii="方正黑体_GBK" w:hAnsi="方正黑体_GBK" w:eastAsia="方正黑体_GBK" w:cs="宋体"/>
                <w:sz w:val="18"/>
                <w:szCs w:val="18"/>
              </w:rPr>
              <w:t>O3份额：广发银行股份有限公司所有个人客户。</w:t>
            </w:r>
          </w:p>
          <w:p w14:paraId="53FF5025">
            <w:pPr>
              <w:spacing w:line="200" w:lineRule="exact"/>
            </w:pPr>
            <w:r>
              <w:rPr>
                <w:rFonts w:ascii="方正黑体_GBK" w:hAnsi="方正黑体_GBK" w:eastAsia="方正黑体_GBK" w:cs="宋体"/>
                <w:sz w:val="18"/>
                <w:szCs w:val="18"/>
              </w:rPr>
              <w:t>Q1份额：台州银行股份有限公司所有客户。</w:t>
            </w:r>
          </w:p>
          <w:p w14:paraId="34728F82">
            <w:pPr>
              <w:spacing w:line="200" w:lineRule="exact"/>
            </w:pPr>
            <w:r>
              <w:rPr>
                <w:rFonts w:ascii="方正黑体_GBK" w:hAnsi="方正黑体_GBK" w:eastAsia="方正黑体_GBK" w:cs="宋体"/>
                <w:sz w:val="18"/>
                <w:szCs w:val="18"/>
              </w:rPr>
              <w:t>R1份额：台州银行股份有限公司白名单客户。</w:t>
            </w:r>
          </w:p>
          <w:p w14:paraId="1E5A36C8">
            <w:pPr>
              <w:spacing w:line="200" w:lineRule="exact"/>
            </w:pPr>
            <w:r>
              <w:rPr>
                <w:rFonts w:ascii="方正黑体_GBK" w:hAnsi="方正黑体_GBK" w:eastAsia="方正黑体_GBK" w:cs="宋体"/>
                <w:sz w:val="18"/>
                <w:szCs w:val="18"/>
              </w:rPr>
              <w:t>Q2份额：台州银行股份有限公司所有客户。</w:t>
            </w:r>
          </w:p>
          <w:p w14:paraId="60DC3374">
            <w:pPr>
              <w:spacing w:line="200" w:lineRule="exact"/>
            </w:pPr>
            <w:r>
              <w:rPr>
                <w:rFonts w:ascii="方正黑体_GBK" w:hAnsi="方正黑体_GBK" w:eastAsia="方正黑体_GBK" w:cs="宋体"/>
                <w:sz w:val="18"/>
                <w:szCs w:val="18"/>
              </w:rPr>
              <w:t>R2份额：台州银行股份有限公司白名单客户。</w:t>
            </w:r>
          </w:p>
          <w:p w14:paraId="6C4D323B">
            <w:pPr>
              <w:spacing w:line="200" w:lineRule="exact"/>
            </w:pPr>
            <w:r>
              <w:rPr>
                <w:rFonts w:ascii="方正黑体_GBK" w:hAnsi="方正黑体_GBK" w:eastAsia="方正黑体_GBK" w:cs="宋体"/>
                <w:sz w:val="18"/>
                <w:szCs w:val="18"/>
              </w:rPr>
              <w:t>Q3份额：台州银行股份有限公司所有客户。</w:t>
            </w:r>
          </w:p>
          <w:p w14:paraId="7422BE91">
            <w:pPr>
              <w:spacing w:line="200" w:lineRule="exact"/>
            </w:pPr>
            <w:r>
              <w:rPr>
                <w:rFonts w:ascii="方正黑体_GBK" w:hAnsi="方正黑体_GBK" w:eastAsia="方正黑体_GBK" w:cs="宋体"/>
                <w:sz w:val="18"/>
                <w:szCs w:val="18"/>
              </w:rPr>
              <w:t>R3份额：台州银行股份有限公司白名单客户。</w:t>
            </w:r>
          </w:p>
          <w:p w14:paraId="127DED30">
            <w:pPr>
              <w:spacing w:line="200" w:lineRule="exact"/>
            </w:pPr>
            <w:r>
              <w:rPr>
                <w:rFonts w:ascii="方正黑体_GBK" w:hAnsi="方正黑体_GBK" w:eastAsia="方正黑体_GBK" w:cs="宋体"/>
                <w:sz w:val="18"/>
                <w:szCs w:val="18"/>
              </w:rPr>
              <w:t>B1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14:paraId="5DA80D71">
            <w:pPr>
              <w:spacing w:line="200" w:lineRule="exact"/>
            </w:pPr>
            <w:r>
              <w:rPr>
                <w:rFonts w:ascii="方正黑体_GBK" w:hAnsi="方正黑体_GBK" w:eastAsia="方正黑体_GBK" w:cs="宋体"/>
                <w:sz w:val="18"/>
                <w:szCs w:val="18"/>
              </w:rPr>
              <w:t>C1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14:paraId="181329EF">
            <w:pPr>
              <w:spacing w:line="200" w:lineRule="exact"/>
            </w:pPr>
            <w:r>
              <w:rPr>
                <w:rFonts w:ascii="方正黑体_GBK" w:hAnsi="方正黑体_GBK" w:eastAsia="方正黑体_GBK" w:cs="宋体"/>
                <w:sz w:val="18"/>
                <w:szCs w:val="18"/>
              </w:rPr>
              <w:t>D1份额：河北银行股份有限公司（分行特供）、秦皇岛银行股份有限公司、天津农村商业银行股份有限公司（专属客户）、云南红塔银行股份有限公司（新客户）、重庆富民银行股份有限公司、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14:paraId="12F73E2A">
            <w:pPr>
              <w:spacing w:line="200" w:lineRule="exact"/>
            </w:pPr>
            <w:r>
              <w:rPr>
                <w:rFonts w:ascii="方正黑体_GBK" w:hAnsi="方正黑体_GBK" w:eastAsia="方正黑体_GBK" w:cs="宋体"/>
                <w:sz w:val="18"/>
                <w:szCs w:val="18"/>
              </w:rPr>
              <w:t>E1份额：天津农村商业银行股份有限公司（特邀客户）、云南红塔银行股份有限公司（财富300万客户）、甘肃银行股份有限公司（教师节特供）、江苏镇江农村商业银行股份有限公司（100万元起购）、江苏扬州农村商业银行股份有限公司（新年特供）、江苏句容农村商业银行股份有限公司、江苏镇江农村商业银行股份有限公司、、江苏沛县农村商业银行股份有限公司（高端客户专属）、江苏海门农村商业银行股份有限公司客户。</w:t>
            </w:r>
          </w:p>
          <w:p w14:paraId="7AE7DE7E">
            <w:pPr>
              <w:spacing w:line="200" w:lineRule="exact"/>
            </w:pPr>
            <w:r>
              <w:rPr>
                <w:rFonts w:ascii="方正黑体_GBK" w:hAnsi="方正黑体_GBK" w:eastAsia="方正黑体_GBK" w:cs="宋体"/>
                <w:sz w:val="18"/>
                <w:szCs w:val="18"/>
              </w:rPr>
              <w:t>F1份额：南京银行私行客户、钻石客户、新晋私行客户、新晋钻石户及南京银行认定的其他符合标准的客户。</w:t>
            </w:r>
          </w:p>
          <w:p w14:paraId="5686B67B">
            <w:pPr>
              <w:spacing w:line="200" w:lineRule="exact"/>
            </w:pPr>
            <w:r>
              <w:rPr>
                <w:rFonts w:ascii="方正黑体_GBK" w:hAnsi="方正黑体_GBK" w:eastAsia="方正黑体_GBK" w:cs="宋体"/>
                <w:sz w:val="18"/>
                <w:szCs w:val="18"/>
              </w:rPr>
              <w:t>G1份额：成都银行股份有限公司客户。</w:t>
            </w:r>
          </w:p>
          <w:p w14:paraId="206DDDF8">
            <w:pPr>
              <w:spacing w:line="200" w:lineRule="exact"/>
            </w:pPr>
            <w:r>
              <w:rPr>
                <w:rFonts w:ascii="方正黑体_GBK" w:hAnsi="方正黑体_GBK" w:eastAsia="方正黑体_GBK" w:cs="宋体"/>
                <w:sz w:val="18"/>
                <w:szCs w:val="18"/>
              </w:rPr>
              <w:t>I1份额：南京银行股份有限公司（特定分行新客、新资金（5万）、代发）客户。</w:t>
            </w:r>
          </w:p>
          <w:p w14:paraId="528887D4">
            <w:pPr>
              <w:spacing w:line="200" w:lineRule="exact"/>
            </w:pPr>
            <w:r>
              <w:rPr>
                <w:rFonts w:ascii="方正黑体_GBK" w:hAnsi="方正黑体_GBK" w:eastAsia="方正黑体_GBK" w:cs="宋体"/>
                <w:sz w:val="18"/>
                <w:szCs w:val="18"/>
              </w:rPr>
              <w:t>J1份额：兴业银行股份有限公司客户。</w:t>
            </w:r>
          </w:p>
          <w:p w14:paraId="63C80B81">
            <w:pPr>
              <w:spacing w:line="200" w:lineRule="exact"/>
            </w:pPr>
            <w:r>
              <w:rPr>
                <w:rFonts w:ascii="方正黑体_GBK" w:hAnsi="方正黑体_GBK" w:eastAsia="方正黑体_GBK" w:cs="宋体"/>
                <w:sz w:val="18"/>
                <w:szCs w:val="18"/>
              </w:rPr>
              <w:t>K1份额：交通银行股份有限公司客户。</w:t>
            </w:r>
          </w:p>
          <w:p w14:paraId="1003B62E">
            <w:pPr>
              <w:spacing w:line="200" w:lineRule="exact"/>
            </w:pPr>
            <w:r>
              <w:rPr>
                <w:rFonts w:ascii="方正黑体_GBK" w:hAnsi="方正黑体_GBK" w:eastAsia="方正黑体_GBK" w:cs="宋体"/>
                <w:sz w:val="18"/>
                <w:szCs w:val="18"/>
              </w:rPr>
              <w:t>L1份额：兴业银行股份有限公司南京分行客户。</w:t>
            </w:r>
          </w:p>
          <w:p w14:paraId="4250632F">
            <w:pPr>
              <w:spacing w:line="200" w:lineRule="exact"/>
            </w:pPr>
            <w:r>
              <w:rPr>
                <w:rFonts w:ascii="方正黑体_GBK" w:hAnsi="方正黑体_GBK" w:eastAsia="方正黑体_GBK" w:cs="宋体"/>
                <w:sz w:val="18"/>
                <w:szCs w:val="18"/>
              </w:rPr>
              <w:t>M1份额：浙江民泰商业银行股份有限公司、苏州银行股份有限公司、嘉兴银行股份有限公司、宁波通商银行股份有限公司客户。</w:t>
            </w:r>
          </w:p>
          <w:p w14:paraId="2B64B25D">
            <w:pPr>
              <w:spacing w:line="200" w:lineRule="exact"/>
            </w:pPr>
            <w:r>
              <w:rPr>
                <w:rFonts w:ascii="方正黑体_GBK" w:hAnsi="方正黑体_GBK" w:eastAsia="方正黑体_GBK" w:cs="宋体"/>
                <w:sz w:val="18"/>
                <w:szCs w:val="18"/>
              </w:rPr>
              <w:t>N1份额：苏州银行股份有限公司（代发与新资金专属）客户。</w:t>
            </w:r>
          </w:p>
          <w:p w14:paraId="6E27DCB9">
            <w:pPr>
              <w:spacing w:line="200" w:lineRule="exact"/>
            </w:pPr>
            <w:r>
              <w:rPr>
                <w:rFonts w:ascii="方正黑体_GBK" w:hAnsi="方正黑体_GBK" w:eastAsia="方正黑体_GBK" w:cs="宋体"/>
                <w:sz w:val="18"/>
                <w:szCs w:val="18"/>
              </w:rPr>
              <w:t>O1份额：广发银行股份有限公司所有个人客户。</w:t>
            </w:r>
          </w:p>
          <w:p w14:paraId="413EE7D4">
            <w:pPr>
              <w:spacing w:line="200" w:lineRule="exact"/>
            </w:pPr>
            <w:r>
              <w:rPr>
                <w:rFonts w:ascii="方正黑体_GBK" w:hAnsi="方正黑体_GBK" w:eastAsia="方正黑体_GBK" w:cs="宋体"/>
                <w:sz w:val="18"/>
                <w:szCs w:val="18"/>
              </w:rPr>
              <w:t>S1份额：四川天府银行股份有限公司客户。</w:t>
            </w:r>
          </w:p>
          <w:p w14:paraId="43B2B784">
            <w:pPr>
              <w:spacing w:line="200" w:lineRule="exact"/>
            </w:pPr>
            <w:r>
              <w:rPr>
                <w:rFonts w:ascii="方正黑体_GBK" w:hAnsi="方正黑体_GBK" w:eastAsia="方正黑体_GBK" w:cs="宋体"/>
                <w:sz w:val="18"/>
                <w:szCs w:val="18"/>
              </w:rPr>
              <w:t>S2份额：四川天府银行股份有限公司客户。</w:t>
            </w:r>
          </w:p>
          <w:p w14:paraId="79C90B99">
            <w:pPr>
              <w:spacing w:line="200" w:lineRule="exact"/>
            </w:pPr>
            <w:r>
              <w:rPr>
                <w:rFonts w:ascii="方正黑体_GBK" w:hAnsi="方正黑体_GBK" w:eastAsia="方正黑体_GBK" w:cs="宋体"/>
                <w:sz w:val="18"/>
                <w:szCs w:val="18"/>
              </w:rPr>
              <w:t>S3份额：四川天府银行股份有限公司客户。</w:t>
            </w:r>
          </w:p>
          <w:p w14:paraId="69BB2AA2">
            <w:pPr>
              <w:spacing w:line="200" w:lineRule="exact"/>
            </w:pPr>
            <w:r>
              <w:rPr>
                <w:rFonts w:ascii="方正黑体_GBK" w:hAnsi="方正黑体_GBK" w:eastAsia="方正黑体_GBK" w:cs="宋体"/>
                <w:sz w:val="18"/>
                <w:szCs w:val="18"/>
              </w:rPr>
              <w:t>T1份额：云南红塔银行股份有限公司（特供客户）。</w:t>
            </w:r>
          </w:p>
          <w:p w14:paraId="7A92E11B">
            <w:pPr>
              <w:spacing w:line="200" w:lineRule="exact"/>
            </w:pPr>
            <w:r>
              <w:rPr>
                <w:rFonts w:ascii="方正黑体_GBK" w:hAnsi="方正黑体_GBK" w:eastAsia="方正黑体_GBK" w:cs="宋体"/>
                <w:sz w:val="18"/>
                <w:szCs w:val="18"/>
              </w:rPr>
              <w:t>T2份额：云南红塔银行股份有限公司（特供客户）。</w:t>
            </w:r>
          </w:p>
          <w:p w14:paraId="207AA7BD">
            <w:pPr>
              <w:spacing w:line="200" w:lineRule="exact"/>
            </w:pPr>
            <w:r>
              <w:rPr>
                <w:rFonts w:ascii="方正黑体_GBK" w:hAnsi="方正黑体_GBK" w:eastAsia="方正黑体_GBK" w:cs="宋体"/>
                <w:sz w:val="18"/>
                <w:szCs w:val="18"/>
              </w:rPr>
              <w:t>T3份额：云南红塔银行股份有限公司（特供客户）。</w:t>
            </w:r>
          </w:p>
          <w:p w14:paraId="48578B84">
            <w:pPr>
              <w:spacing w:line="200" w:lineRule="exact"/>
            </w:pPr>
            <w:r>
              <w:rPr>
                <w:rFonts w:ascii="方正黑体_GBK" w:hAnsi="方正黑体_GBK" w:eastAsia="方正黑体_GBK" w:cs="宋体"/>
                <w:b/>
                <w:sz w:val="18"/>
                <w:szCs w:val="18"/>
              </w:rPr>
              <w:t>注：</w:t>
            </w:r>
            <w:r>
              <w:rPr>
                <w:rFonts w:ascii="方正黑体_GBK" w:hAnsi="方正黑体_GBK" w:eastAsia="方正黑体_GBK" w:cs="宋体"/>
                <w:b/>
                <w:i w:val="0"/>
                <w:caps w:val="0"/>
                <w:smallCaps w:val="0"/>
                <w:strike w:val="0"/>
                <w:dstrike w:val="0"/>
                <w:vanish w:val="0"/>
                <w:sz w:val="18"/>
                <w:szCs w:val="18"/>
              </w:rPr>
              <w:t>本产品不同份额针对不同的销售机构及客群进行销售，设置有不同的销售费和管理费，具体客群划分标准以销售机构为准。</w:t>
            </w:r>
          </w:p>
        </w:tc>
      </w:tr>
      <w:tr w14:paraId="68D472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1C0A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6020F6F">
            <w:pPr>
              <w:spacing w:line="200" w:lineRule="exact"/>
            </w:pPr>
            <w:r>
              <w:rPr>
                <w:rFonts w:ascii="方正黑体_GBK" w:hAnsi="方正黑体_GBK" w:eastAsia="方正黑体_GBK" w:cs="宋体"/>
                <w:sz w:val="18"/>
                <w:szCs w:val="18"/>
              </w:rPr>
              <w:t>A份额/C份额/E份额/G份额/B2份额/C2份额/D2份额/E2份额/B3份额/C3份额/D3份额/E3份额/F2份额/F3份额/G2份额/G3份额/J2份额/K2份额/L2份额/J3份额/K3份额/L3份额/M2份额/M3份额/Q1份额/R1份额/Q2份额/R2份额/Q3份额/R3份额/B1份额/C1份额/D1份额/E1份额/F1份额/G1份额/I1份额/J1份额/K1份额/L1份额/M1份额/N1份额/S1份额/S2份额/S3份额/T1份额/T2份额/T3份额：</w:t>
            </w:r>
          </w:p>
          <w:p w14:paraId="6275CE5D">
            <w:pPr>
              <w:spacing w:line="200" w:lineRule="exact"/>
            </w:pPr>
            <w:r>
              <w:rPr>
                <w:rFonts w:ascii="方正黑体_GBK" w:hAnsi="方正黑体_GBK" w:eastAsia="方正黑体_GBK" w:cs="宋体"/>
                <w:sz w:val="18"/>
                <w:szCs w:val="18"/>
              </w:rPr>
              <w:t>个人投资者投资起点金额1元人民币，以1元的整数倍递增；</w:t>
            </w:r>
          </w:p>
          <w:p w14:paraId="067FB00F">
            <w:pPr>
              <w:spacing w:line="200" w:lineRule="exact"/>
            </w:pPr>
            <w:r>
              <w:rPr>
                <w:rFonts w:ascii="方正黑体_GBK" w:hAnsi="方正黑体_GBK" w:eastAsia="方正黑体_GBK" w:cs="宋体"/>
                <w:sz w:val="18"/>
                <w:szCs w:val="18"/>
              </w:rPr>
              <w:t>机构投资者投资起点金额1元人民币，以1元的整数倍递增；</w:t>
            </w:r>
          </w:p>
          <w:p w14:paraId="63992F78">
            <w:pPr>
              <w:spacing w:line="200" w:lineRule="exact"/>
            </w:pPr>
            <w:r>
              <w:rPr>
                <w:rFonts w:ascii="方正黑体_GBK" w:hAnsi="方正黑体_GBK" w:eastAsia="方正黑体_GBK" w:cs="宋体"/>
                <w:sz w:val="18"/>
                <w:szCs w:val="18"/>
              </w:rPr>
              <w:t>O</w:t>
            </w:r>
            <w:r>
              <w:rPr>
                <w:rFonts w:hint="eastAsia" w:cs="宋体"/>
                <w:sz w:val="18"/>
                <w:szCs w:val="18"/>
                <w:lang w:val="en-US" w:eastAsia="zh-CN"/>
              </w:rPr>
              <w:t>1</w:t>
            </w:r>
            <w:r>
              <w:rPr>
                <w:rFonts w:ascii="方正黑体_GBK" w:hAnsi="方正黑体_GBK" w:eastAsia="方正黑体_GBK" w:cs="宋体"/>
                <w:sz w:val="18"/>
                <w:szCs w:val="18"/>
              </w:rPr>
              <w:t>份额/O</w:t>
            </w:r>
            <w:r>
              <w:rPr>
                <w:rFonts w:hint="eastAsia" w:cs="宋体"/>
                <w:sz w:val="18"/>
                <w:szCs w:val="18"/>
                <w:lang w:val="en-US" w:eastAsia="zh-CN"/>
              </w:rPr>
              <w:t>2</w:t>
            </w:r>
            <w:r>
              <w:rPr>
                <w:rFonts w:ascii="方正黑体_GBK" w:hAnsi="方正黑体_GBK" w:eastAsia="方正黑体_GBK" w:cs="宋体"/>
                <w:sz w:val="18"/>
                <w:szCs w:val="18"/>
              </w:rPr>
              <w:t>份额/O</w:t>
            </w:r>
            <w:r>
              <w:rPr>
                <w:rFonts w:hint="eastAsia" w:cs="宋体"/>
                <w:sz w:val="18"/>
                <w:szCs w:val="18"/>
                <w:lang w:val="en-US" w:eastAsia="zh-CN"/>
              </w:rPr>
              <w:t>3</w:t>
            </w:r>
            <w:r>
              <w:rPr>
                <w:rFonts w:ascii="方正黑体_GBK" w:hAnsi="方正黑体_GBK" w:eastAsia="方正黑体_GBK" w:cs="宋体"/>
                <w:sz w:val="18"/>
                <w:szCs w:val="18"/>
              </w:rPr>
              <w:t>份额：</w:t>
            </w:r>
          </w:p>
          <w:p w14:paraId="7C0F8C9D">
            <w:pPr>
              <w:spacing w:line="200" w:lineRule="exact"/>
            </w:pPr>
            <w:r>
              <w:rPr>
                <w:rFonts w:ascii="方正黑体_GBK" w:hAnsi="方正黑体_GBK" w:eastAsia="方正黑体_GBK" w:cs="宋体"/>
                <w:sz w:val="18"/>
                <w:szCs w:val="18"/>
              </w:rPr>
              <w:t>个人投资者投资起点金额1元人民币，以1元的整数倍递增；</w:t>
            </w:r>
          </w:p>
          <w:p w14:paraId="56EFAB9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D2A003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6C452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1127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598B73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DD0C2D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EDF4F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FF5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BA9DA3D">
            <w:pPr>
              <w:spacing w:line="200" w:lineRule="exact"/>
            </w:pPr>
            <w:r>
              <w:rPr>
                <w:rFonts w:ascii="方正黑体_GBK" w:hAnsi="方正黑体_GBK" w:eastAsia="方正黑体_GBK" w:cs="宋体"/>
                <w:color w:val="000000"/>
                <w:sz w:val="18"/>
                <w:szCs w:val="18"/>
              </w:rPr>
              <w:t>2019年09月25日 09:00—2019年10月09日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95AF8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5E442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75D308C">
            <w:pPr>
              <w:spacing w:line="200" w:lineRule="exact"/>
            </w:pPr>
            <w:r>
              <w:rPr>
                <w:rFonts w:ascii="方正黑体_GBK" w:hAnsi="方正黑体_GBK" w:eastAsia="方正黑体_GBK" w:cs="宋体"/>
                <w:sz w:val="18"/>
                <w:szCs w:val="18"/>
              </w:rPr>
              <w:t>认购份额=确认认购金额/1。（认购份额以去尾法保留两位小数）</w:t>
            </w:r>
          </w:p>
        </w:tc>
      </w:tr>
      <w:tr w14:paraId="5AD91A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DFF5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5FC20F53">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5C0989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2CBB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0D4689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1F6F0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B1FA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97BAB4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2019年10月10日</w:t>
            </w:r>
          </w:p>
        </w:tc>
      </w:tr>
      <w:tr w14:paraId="30B7E5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0342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2C33BF8">
            <w:pPr>
              <w:spacing w:line="200" w:lineRule="exact"/>
            </w:pPr>
            <w:r>
              <w:rPr>
                <w:rFonts w:ascii="方正黑体_GBK" w:hAnsi="方正黑体_GBK" w:eastAsia="方正黑体_GBK" w:cs="宋体"/>
                <w:sz w:val="18"/>
                <w:szCs w:val="18"/>
              </w:rPr>
              <w:t>2019年10月10日—实际到期日（若本理财产品未被提前终止或延期终止，则实际到期日即为名义到期日，存续期限10年；若本理财产品被提前终止或延期终止，则实际到期日为提前终止日或延期终止日。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23A295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26BC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31339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29613B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57E01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BE37AF5">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014DE1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7D706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B884F07">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5B71C3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24035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2F35A380">
            <w:pPr>
              <w:spacing w:line="200" w:lineRule="exact"/>
            </w:pPr>
            <w:r>
              <w:rPr>
                <w:rFonts w:ascii="方正黑体_GBK" w:hAnsi="方正黑体_GBK" w:eastAsia="方正黑体_GBK" w:cs="宋体"/>
                <w:sz w:val="18"/>
                <w:szCs w:val="18"/>
              </w:rPr>
              <w:t>A份额/F1份额/Q1份额/R1份额：本次开放期为2025年12月31日9：00至2026年1月7日17：00,下一个开放期为2027年1月28日9：00至2027年2月15日17：00，投资者可以提交或撤销认购/申购/赎回申请。</w:t>
            </w:r>
          </w:p>
          <w:p w14:paraId="2370EE10">
            <w:pPr>
              <w:spacing w:line="200" w:lineRule="exact"/>
            </w:pPr>
            <w:r>
              <w:rPr>
                <w:rFonts w:ascii="方正黑体_GBK" w:hAnsi="方正黑体_GBK" w:eastAsia="方正黑体_GBK" w:cs="宋体"/>
                <w:sz w:val="18"/>
                <w:szCs w:val="18"/>
              </w:rPr>
              <w:t>C份额/E份额/G份额：投资者可于2025年12月31日9：00至2026年1月7日17：00提交或撤销赎回申请。</w:t>
            </w:r>
          </w:p>
          <w:p w14:paraId="0913A6F2">
            <w:pPr>
              <w:spacing w:line="200" w:lineRule="exact"/>
            </w:pPr>
            <w:r>
              <w:rPr>
                <w:rFonts w:ascii="方正黑体_GBK" w:hAnsi="方正黑体_GBK" w:eastAsia="方正黑体_GBK" w:cs="宋体"/>
                <w:sz w:val="18"/>
                <w:szCs w:val="18"/>
              </w:rPr>
              <w:t>B1份额/C1份额/D1份额/E1份额/G1份额/I1份额/J1份额/K1份额/L1份额/M1份额/N1份额/O1份额/S1份额/T1份额：本次开放期为2025年12月31日9：00至2026年1月7日17：00，投资者可以提交或撤销认购/申购申请；确认成功的份额均将于下一个开放期（2027年1月28日9：00至2027年2月15日17：00）由系统自动发起赎回申请。</w:t>
            </w:r>
          </w:p>
          <w:p w14:paraId="241A459E">
            <w:pPr>
              <w:spacing w:line="200" w:lineRule="exact"/>
            </w:pPr>
            <w:r>
              <w:rPr>
                <w:rFonts w:ascii="方正黑体_GBK" w:hAnsi="方正黑体_GBK" w:eastAsia="方正黑体_GBK" w:cs="宋体"/>
                <w:sz w:val="18"/>
                <w:szCs w:val="18"/>
              </w:rPr>
              <w:t>C份额/F2份额/Q2份额/R2份额：本次开放期为2026年1月8日9：00至2026年1月14日17：00,下一个开放期为2027年2月16日9：00至2027年2月24日17：00，投资者可以提交或撤销认购/申购/赎回申请。</w:t>
            </w:r>
          </w:p>
          <w:p w14:paraId="6F215D6C">
            <w:pPr>
              <w:spacing w:line="200" w:lineRule="exact"/>
            </w:pPr>
            <w:r>
              <w:rPr>
                <w:rFonts w:ascii="方正黑体_GBK" w:hAnsi="方正黑体_GBK" w:eastAsia="方正黑体_GBK" w:cs="宋体"/>
                <w:sz w:val="18"/>
                <w:szCs w:val="18"/>
              </w:rPr>
              <w:t>B2份额/C2份额/D2份额/E2份额/G2份额/J2份额/K2份额/L2份额/M2份额/O2份额/S2份额/T2份额：本次开放期为2026年1月8日9：00至2026年1月14日17：00，投资者可以提交或撤销认购/申购申请；确认成功的份额均将于下一个开放期（2027年2月16日9：00至2027年2月24日17：00）由系统自动发起赎回申请。</w:t>
            </w:r>
          </w:p>
          <w:p w14:paraId="106C6637">
            <w:pPr>
              <w:spacing w:line="200" w:lineRule="exact"/>
            </w:pPr>
            <w:r>
              <w:rPr>
                <w:rFonts w:ascii="方正黑体_GBK" w:hAnsi="方正黑体_GBK" w:eastAsia="方正黑体_GBK" w:cs="宋体"/>
                <w:sz w:val="18"/>
                <w:szCs w:val="18"/>
              </w:rPr>
              <w:t>E份额/F3份额/Q3份额/R3份额：本次开放期为2026年1月15日9：00至2026年1月22日17：00,下一个开放期为2027年2月25日9：00至2027年3月3日17：00，投资者可以提交或撤销认购/申购/赎回申请。</w:t>
            </w:r>
          </w:p>
          <w:p w14:paraId="6060BD11">
            <w:pPr>
              <w:spacing w:line="200" w:lineRule="exact"/>
            </w:pPr>
            <w:r>
              <w:rPr>
                <w:rFonts w:ascii="方正黑体_GBK" w:hAnsi="方正黑体_GBK" w:eastAsia="方正黑体_GBK" w:cs="宋体"/>
                <w:sz w:val="18"/>
                <w:szCs w:val="18"/>
              </w:rPr>
              <w:t>G份额：投资者可于2026年1月15日9：00至2026年1月22日17：00发起赎回申请；下一个开放期（2027年2月25日9：00至2027年3月3日17：00）由系统自动为所有份额发起赎回申请。</w:t>
            </w:r>
          </w:p>
          <w:p w14:paraId="5BD3B75B">
            <w:pPr>
              <w:spacing w:line="200" w:lineRule="exact"/>
            </w:pPr>
            <w:r>
              <w:rPr>
                <w:rFonts w:ascii="方正黑体_GBK" w:hAnsi="方正黑体_GBK" w:eastAsia="方正黑体_GBK" w:cs="宋体"/>
                <w:sz w:val="18"/>
                <w:szCs w:val="18"/>
              </w:rPr>
              <w:t>B3份额/C3份额/D3份额/E3份额/G3份额/J3份额/K3份额/L3份额/M3份额/O3份额/S3份额/T3份额：本次开放期为2026年1月15日9：00至2026年1月22日17：00，投资者可以提交或撤销认购/申购申请；确认成功的份额均将于下一个开放期（2027年2月25日9：00至2027年3月3日17：00）由系统自动发起赎回申请。</w:t>
            </w:r>
          </w:p>
          <w:p w14:paraId="3A6A371C">
            <w:pPr>
              <w:spacing w:line="200" w:lineRule="exact"/>
            </w:pPr>
            <w:r>
              <w:rPr>
                <w:rFonts w:ascii="方正黑体_GBK" w:hAnsi="方正黑体_GBK" w:eastAsia="方正黑体_GBK" w:cs="宋体"/>
                <w:sz w:val="18"/>
                <w:szCs w:val="18"/>
              </w:rPr>
              <w:t>产品开放期如有调整以管理人公告为准。</w:t>
            </w:r>
          </w:p>
          <w:p w14:paraId="20415F95">
            <w:pPr>
              <w:spacing w:line="200" w:lineRule="exact"/>
            </w:pPr>
            <w:r>
              <w:rPr>
                <w:rFonts w:ascii="方正黑体_GBK" w:hAnsi="方正黑体_GBK" w:eastAsia="方正黑体_GBK" w:cs="宋体"/>
                <w:sz w:val="18"/>
                <w:szCs w:val="18"/>
              </w:rPr>
              <w:t>在销售机构支持的前提下，认购/申购/赎回开放期末日17:00前可以撤销申请。</w:t>
            </w:r>
          </w:p>
          <w:p w14:paraId="22716BCA">
            <w:pPr>
              <w:spacing w:line="200" w:lineRule="exact"/>
            </w:pPr>
            <w:r>
              <w:rPr>
                <w:rFonts w:ascii="方正黑体_GBK" w:hAnsi="方正黑体_GBK" w:eastAsia="方正黑体_GBK" w:cs="宋体"/>
                <w:sz w:val="18"/>
                <w:szCs w:val="18"/>
              </w:rPr>
              <w:t>代销机构可根据其销售需要在管理人设定的认购/申购/赎回时间范围内对认购/申购/赎回时间进行重新设定，投资者通过代销机构购买本理财产品的，以该代销机构最终披露的时间为准。</w:t>
            </w:r>
          </w:p>
          <w:p w14:paraId="535399B6">
            <w:pPr>
              <w:spacing w:line="200" w:lineRule="exact"/>
            </w:pPr>
          </w:p>
        </w:tc>
      </w:tr>
      <w:tr w14:paraId="4C22FD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ED9B4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FCFE7B5">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7B56EC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5C80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D997713">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1B1D44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001CC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E8C06D5">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4B30D3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F2FA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FA648D2">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2A0F63D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1DBBA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40EA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2D47F41">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3BCBD253">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5E1DEA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A86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8D675E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404A06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D99797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C7E2A0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D3F233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06CF6F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EB49E4E">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111A6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180D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874BCA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7847C4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02841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7686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84A5B76">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26463C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AC9F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BF62C34">
            <w:pPr>
              <w:spacing w:line="200" w:lineRule="exact"/>
            </w:pPr>
            <w:r>
              <w:rPr>
                <w:rFonts w:ascii="方正黑体_GBK" w:hAnsi="方正黑体_GBK" w:eastAsia="方正黑体_GBK" w:cs="宋体"/>
                <w:b/>
                <w:sz w:val="18"/>
                <w:szCs w:val="18"/>
              </w:rPr>
              <w:t>本理财产品拟投资以下备选非标准化债权类资产：</w:t>
            </w:r>
          </w:p>
          <w:p w14:paraId="0F6ABC38">
            <w:pPr>
              <w:spacing w:line="200" w:lineRule="exact"/>
              <w:jc w:val="left"/>
            </w:pPr>
            <w:r>
              <w:rPr>
                <w:rFonts w:ascii="方正黑体_GBK" w:hAnsi="方正黑体_GBK" w:eastAsia="方正黑体_GBK" w:cs="宋体"/>
                <w:sz w:val="18"/>
                <w:szCs w:val="18"/>
              </w:rPr>
              <w:t>1、信托贷款：资产类型为信托公司设立的资金信托计划，底层资产为蚂蚁及信托公司双重审核、信托公司自主风控后发放的“花呗”消费授信付款资产，消费场景包含线上网购、线下实体店、020、航旅、缴费、公共出行等众多领域，资产到期日不超过理财产品到期日。</w:t>
            </w:r>
          </w:p>
          <w:p w14:paraId="47E45EC8">
            <w:pPr>
              <w:spacing w:line="200" w:lineRule="exact"/>
              <w:jc w:val="left"/>
            </w:pPr>
            <w:r>
              <w:rPr>
                <w:rFonts w:ascii="方正黑体_GBK" w:hAnsi="方正黑体_GBK" w:eastAsia="方正黑体_GBK" w:cs="宋体"/>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14:paraId="5A68A0B2">
            <w:pPr>
              <w:spacing w:line="200" w:lineRule="exact"/>
              <w:jc w:val="left"/>
            </w:pPr>
            <w:r>
              <w:rPr>
                <w:rFonts w:ascii="方正黑体_GBK" w:hAnsi="方正黑体_GBK" w:eastAsia="方正黑体_GBK" w:cs="宋体"/>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14:paraId="56F5B489">
            <w:pPr>
              <w:spacing w:line="200" w:lineRule="exact"/>
              <w:jc w:val="left"/>
            </w:pPr>
            <w:r>
              <w:rPr>
                <w:rFonts w:ascii="方正黑体_GBK" w:hAnsi="方正黑体_GBK" w:eastAsia="方正黑体_GBK" w:cs="宋体"/>
                <w:sz w:val="18"/>
                <w:szCs w:val="18"/>
              </w:rPr>
              <w:t>4、券商收益凭证：资产类型为证券公司发行的收益凭证，期限不超过1年，融资人为华泰证券股份有限公司，融资人评级为AAA（评级机构为上海新世纪资信评估投资服务有限公司）。</w:t>
            </w:r>
          </w:p>
          <w:p w14:paraId="22F689A0">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3D310E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72A2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62D35EE">
            <w:pPr>
              <w:spacing w:line="200" w:lineRule="exact"/>
            </w:pPr>
            <w:r>
              <w:rPr>
                <w:rFonts w:ascii="方正黑体_GBK" w:hAnsi="方正黑体_GBK" w:eastAsia="方正黑体_GBK" w:cs="宋体"/>
                <w:sz w:val="18"/>
                <w:szCs w:val="18"/>
              </w:rPr>
              <w:t>A份额：业绩比较基准为年化2.4%-2.65% 。</w:t>
            </w:r>
          </w:p>
          <w:p w14:paraId="448C6A7F">
            <w:pPr>
              <w:spacing w:line="200" w:lineRule="exact"/>
            </w:pPr>
            <w:r>
              <w:rPr>
                <w:rFonts w:ascii="方正黑体_GBK" w:hAnsi="方正黑体_GBK" w:eastAsia="方正黑体_GBK" w:cs="宋体"/>
                <w:sz w:val="18"/>
                <w:szCs w:val="18"/>
              </w:rPr>
              <w:t>C份额：业绩比较基准为年化2.4%-2.65% 。</w:t>
            </w:r>
          </w:p>
          <w:p w14:paraId="33CF58FA">
            <w:pPr>
              <w:spacing w:line="200" w:lineRule="exact"/>
            </w:pPr>
            <w:r>
              <w:rPr>
                <w:rFonts w:ascii="方正黑体_GBK" w:hAnsi="方正黑体_GBK" w:eastAsia="方正黑体_GBK" w:cs="宋体"/>
                <w:sz w:val="18"/>
                <w:szCs w:val="18"/>
              </w:rPr>
              <w:t>E份额：业绩比较基准为年化2.4%-2.65% 。</w:t>
            </w:r>
          </w:p>
          <w:p w14:paraId="78FC1032">
            <w:pPr>
              <w:spacing w:line="200" w:lineRule="exact"/>
            </w:pPr>
            <w:r>
              <w:rPr>
                <w:rFonts w:ascii="方正黑体_GBK" w:hAnsi="方正黑体_GBK" w:eastAsia="方正黑体_GBK" w:cs="宋体"/>
                <w:sz w:val="18"/>
                <w:szCs w:val="18"/>
              </w:rPr>
              <w:t>G份额：业绩比较基准为年化2.4%-2.65% 。</w:t>
            </w:r>
          </w:p>
          <w:p w14:paraId="5968CCA3">
            <w:pPr>
              <w:spacing w:line="200" w:lineRule="exact"/>
            </w:pPr>
            <w:r>
              <w:rPr>
                <w:rFonts w:ascii="方正黑体_GBK" w:hAnsi="方正黑体_GBK" w:eastAsia="方正黑体_GBK" w:cs="宋体"/>
                <w:sz w:val="18"/>
                <w:szCs w:val="18"/>
              </w:rPr>
              <w:t>B2份额：业绩比较基准为年化2.4%-2.65% 。</w:t>
            </w:r>
          </w:p>
          <w:p w14:paraId="1B90004D">
            <w:pPr>
              <w:spacing w:line="200" w:lineRule="exact"/>
            </w:pPr>
            <w:r>
              <w:rPr>
                <w:rFonts w:ascii="方正黑体_GBK" w:hAnsi="方正黑体_GBK" w:eastAsia="方正黑体_GBK" w:cs="宋体"/>
                <w:sz w:val="18"/>
                <w:szCs w:val="18"/>
              </w:rPr>
              <w:t>C2份额：业绩比较基准为年化2.45%-2.7% 。</w:t>
            </w:r>
          </w:p>
          <w:p w14:paraId="3FDBB36B">
            <w:pPr>
              <w:spacing w:line="200" w:lineRule="exact"/>
            </w:pPr>
            <w:r>
              <w:rPr>
                <w:rFonts w:ascii="方正黑体_GBK" w:hAnsi="方正黑体_GBK" w:eastAsia="方正黑体_GBK" w:cs="宋体"/>
                <w:sz w:val="18"/>
                <w:szCs w:val="18"/>
              </w:rPr>
              <w:t>D2份额：业绩比较基准为年化2.5%-2.75% 。</w:t>
            </w:r>
          </w:p>
          <w:p w14:paraId="3417307D">
            <w:pPr>
              <w:spacing w:line="200" w:lineRule="exact"/>
            </w:pPr>
            <w:r>
              <w:rPr>
                <w:rFonts w:ascii="方正黑体_GBK" w:hAnsi="方正黑体_GBK" w:eastAsia="方正黑体_GBK" w:cs="宋体"/>
                <w:sz w:val="18"/>
                <w:szCs w:val="18"/>
              </w:rPr>
              <w:t>E2份额：业绩比较基准为年化2.6%-2.85% 。</w:t>
            </w:r>
          </w:p>
          <w:p w14:paraId="620A9D11">
            <w:pPr>
              <w:spacing w:line="200" w:lineRule="exact"/>
            </w:pPr>
            <w:r>
              <w:rPr>
                <w:rFonts w:ascii="方正黑体_GBK" w:hAnsi="方正黑体_GBK" w:eastAsia="方正黑体_GBK" w:cs="宋体"/>
                <w:sz w:val="18"/>
                <w:szCs w:val="18"/>
              </w:rPr>
              <w:t>B3份额：业绩比较基准为年化2.4%-2.65% 。</w:t>
            </w:r>
          </w:p>
          <w:p w14:paraId="527761E6">
            <w:pPr>
              <w:spacing w:line="200" w:lineRule="exact"/>
            </w:pPr>
            <w:r>
              <w:rPr>
                <w:rFonts w:ascii="方正黑体_GBK" w:hAnsi="方正黑体_GBK" w:eastAsia="方正黑体_GBK" w:cs="宋体"/>
                <w:sz w:val="18"/>
                <w:szCs w:val="18"/>
              </w:rPr>
              <w:t>C3份额：业绩比较基准为年化2.45%-2.7% 。</w:t>
            </w:r>
          </w:p>
          <w:p w14:paraId="6923C3BF">
            <w:pPr>
              <w:spacing w:line="200" w:lineRule="exact"/>
            </w:pPr>
            <w:r>
              <w:rPr>
                <w:rFonts w:ascii="方正黑体_GBK" w:hAnsi="方正黑体_GBK" w:eastAsia="方正黑体_GBK" w:cs="宋体"/>
                <w:sz w:val="18"/>
                <w:szCs w:val="18"/>
              </w:rPr>
              <w:t>D3份额：业绩比较基准为年化2.5%-2.75% 。</w:t>
            </w:r>
          </w:p>
          <w:p w14:paraId="5876B147">
            <w:pPr>
              <w:spacing w:line="200" w:lineRule="exact"/>
            </w:pPr>
            <w:r>
              <w:rPr>
                <w:rFonts w:ascii="方正黑体_GBK" w:hAnsi="方正黑体_GBK" w:eastAsia="方正黑体_GBK" w:cs="宋体"/>
                <w:sz w:val="18"/>
                <w:szCs w:val="18"/>
              </w:rPr>
              <w:t>E3份额：业绩比较基准为年化2.6%-2.85% 。</w:t>
            </w:r>
          </w:p>
          <w:p w14:paraId="58DAD015">
            <w:pPr>
              <w:spacing w:line="200" w:lineRule="exact"/>
            </w:pPr>
            <w:r>
              <w:rPr>
                <w:rFonts w:ascii="方正黑体_GBK" w:hAnsi="方正黑体_GBK" w:eastAsia="方正黑体_GBK" w:cs="宋体"/>
                <w:sz w:val="18"/>
                <w:szCs w:val="18"/>
              </w:rPr>
              <w:t>F2份额：业绩比较基准为年化2.5%-2.75% 。</w:t>
            </w:r>
          </w:p>
          <w:p w14:paraId="3FB7C10B">
            <w:pPr>
              <w:spacing w:line="200" w:lineRule="exact"/>
            </w:pPr>
            <w:r>
              <w:rPr>
                <w:rFonts w:ascii="方正黑体_GBK" w:hAnsi="方正黑体_GBK" w:eastAsia="方正黑体_GBK" w:cs="宋体"/>
                <w:sz w:val="18"/>
                <w:szCs w:val="18"/>
              </w:rPr>
              <w:t>F3份额：业绩比较基准为年化2.5%-2.75% 。</w:t>
            </w:r>
          </w:p>
          <w:p w14:paraId="0EDD2A50">
            <w:pPr>
              <w:spacing w:line="200" w:lineRule="exact"/>
            </w:pPr>
            <w:r>
              <w:rPr>
                <w:rFonts w:ascii="方正黑体_GBK" w:hAnsi="方正黑体_GBK" w:eastAsia="方正黑体_GBK" w:cs="宋体"/>
                <w:sz w:val="18"/>
                <w:szCs w:val="18"/>
              </w:rPr>
              <w:t>G2份额：业绩比较基准为年化2.55%-2.8% 。</w:t>
            </w:r>
          </w:p>
          <w:p w14:paraId="0424E5FB">
            <w:pPr>
              <w:spacing w:line="200" w:lineRule="exact"/>
            </w:pPr>
            <w:r>
              <w:rPr>
                <w:rFonts w:ascii="方正黑体_GBK" w:hAnsi="方正黑体_GBK" w:eastAsia="方正黑体_GBK" w:cs="宋体"/>
                <w:sz w:val="18"/>
                <w:szCs w:val="18"/>
              </w:rPr>
              <w:t>G3份额：业绩比较基准为年化2.55%-2.8% 。</w:t>
            </w:r>
          </w:p>
          <w:p w14:paraId="3F9A658D">
            <w:pPr>
              <w:spacing w:line="200" w:lineRule="exact"/>
            </w:pPr>
            <w:r>
              <w:rPr>
                <w:rFonts w:ascii="方正黑体_GBK" w:hAnsi="方正黑体_GBK" w:eastAsia="方正黑体_GBK" w:cs="宋体"/>
                <w:sz w:val="18"/>
                <w:szCs w:val="18"/>
              </w:rPr>
              <w:t>J2份额：业绩比较基准为年化2.45%-2.7% 。</w:t>
            </w:r>
          </w:p>
          <w:p w14:paraId="18EF05D1">
            <w:pPr>
              <w:spacing w:line="200" w:lineRule="exact"/>
            </w:pPr>
            <w:r>
              <w:rPr>
                <w:rFonts w:ascii="方正黑体_GBK" w:hAnsi="方正黑体_GBK" w:eastAsia="方正黑体_GBK" w:cs="宋体"/>
                <w:sz w:val="18"/>
                <w:szCs w:val="18"/>
              </w:rPr>
              <w:t>K2份额：业绩比较基准为年化2.4%-2.65% 。</w:t>
            </w:r>
          </w:p>
          <w:p w14:paraId="7DBE6D77">
            <w:pPr>
              <w:spacing w:line="200" w:lineRule="exact"/>
            </w:pPr>
            <w:r>
              <w:rPr>
                <w:rFonts w:ascii="方正黑体_GBK" w:hAnsi="方正黑体_GBK" w:eastAsia="方正黑体_GBK" w:cs="宋体"/>
                <w:sz w:val="18"/>
                <w:szCs w:val="18"/>
              </w:rPr>
              <w:t>L2份额：业绩比较基准为年化2.55%-2.8% 。</w:t>
            </w:r>
          </w:p>
          <w:p w14:paraId="518B2B72">
            <w:pPr>
              <w:spacing w:line="200" w:lineRule="exact"/>
            </w:pPr>
            <w:r>
              <w:rPr>
                <w:rFonts w:ascii="方正黑体_GBK" w:hAnsi="方正黑体_GBK" w:eastAsia="方正黑体_GBK" w:cs="宋体"/>
                <w:sz w:val="18"/>
                <w:szCs w:val="18"/>
              </w:rPr>
              <w:t>J3份额：业绩比较基准为年化2.45%-2.7% 。</w:t>
            </w:r>
          </w:p>
          <w:p w14:paraId="51B9D067">
            <w:pPr>
              <w:spacing w:line="200" w:lineRule="exact"/>
            </w:pPr>
            <w:r>
              <w:rPr>
                <w:rFonts w:ascii="方正黑体_GBK" w:hAnsi="方正黑体_GBK" w:eastAsia="方正黑体_GBK" w:cs="宋体"/>
                <w:sz w:val="18"/>
                <w:szCs w:val="18"/>
              </w:rPr>
              <w:t>K3份额：业绩比较基准为年化2.4%-2.65% 。</w:t>
            </w:r>
          </w:p>
          <w:p w14:paraId="323332A2">
            <w:pPr>
              <w:spacing w:line="200" w:lineRule="exact"/>
            </w:pPr>
            <w:r>
              <w:rPr>
                <w:rFonts w:ascii="方正黑体_GBK" w:hAnsi="方正黑体_GBK" w:eastAsia="方正黑体_GBK" w:cs="宋体"/>
                <w:sz w:val="18"/>
                <w:szCs w:val="18"/>
              </w:rPr>
              <w:t>L3份额：业绩比较基准为年化2.5%-2.75% 。</w:t>
            </w:r>
          </w:p>
          <w:p w14:paraId="18EAC7A3">
            <w:pPr>
              <w:spacing w:line="200" w:lineRule="exact"/>
            </w:pPr>
            <w:r>
              <w:rPr>
                <w:rFonts w:ascii="方正黑体_GBK" w:hAnsi="方正黑体_GBK" w:eastAsia="方正黑体_GBK" w:cs="宋体"/>
                <w:sz w:val="18"/>
                <w:szCs w:val="18"/>
              </w:rPr>
              <w:t>M2份额：业绩比较基准为年化2.4%-2.65% 。</w:t>
            </w:r>
          </w:p>
          <w:p w14:paraId="7D00CE6C">
            <w:pPr>
              <w:spacing w:line="200" w:lineRule="exact"/>
            </w:pPr>
            <w:r>
              <w:rPr>
                <w:rFonts w:ascii="方正黑体_GBK" w:hAnsi="方正黑体_GBK" w:eastAsia="方正黑体_GBK" w:cs="宋体"/>
                <w:sz w:val="18"/>
                <w:szCs w:val="18"/>
              </w:rPr>
              <w:t>M3份额：业绩比较基准为年化2.4%-2.65% 。</w:t>
            </w:r>
          </w:p>
          <w:p w14:paraId="6732FF50">
            <w:pPr>
              <w:spacing w:line="200" w:lineRule="exact"/>
            </w:pPr>
            <w:r>
              <w:rPr>
                <w:rFonts w:ascii="方正黑体_GBK" w:hAnsi="方正黑体_GBK" w:eastAsia="方正黑体_GBK" w:cs="宋体"/>
                <w:sz w:val="18"/>
                <w:szCs w:val="18"/>
              </w:rPr>
              <w:t>O2份额：业绩比较基准为年化2.5%-2.75% 。</w:t>
            </w:r>
          </w:p>
          <w:p w14:paraId="3EE4B629">
            <w:pPr>
              <w:spacing w:line="200" w:lineRule="exact"/>
            </w:pPr>
            <w:r>
              <w:rPr>
                <w:rFonts w:ascii="方正黑体_GBK" w:hAnsi="方正黑体_GBK" w:eastAsia="方正黑体_GBK" w:cs="宋体"/>
                <w:sz w:val="18"/>
                <w:szCs w:val="18"/>
              </w:rPr>
              <w:t>O3份额：业绩比较基准为年化2.5%-2.75% 。</w:t>
            </w:r>
          </w:p>
          <w:p w14:paraId="5D94E724">
            <w:pPr>
              <w:spacing w:line="200" w:lineRule="exact"/>
            </w:pPr>
            <w:r>
              <w:rPr>
                <w:rFonts w:ascii="方正黑体_GBK" w:hAnsi="方正黑体_GBK" w:eastAsia="方正黑体_GBK" w:cs="宋体"/>
                <w:sz w:val="18"/>
                <w:szCs w:val="18"/>
              </w:rPr>
              <w:t>Q1份额：业绩比较基准为年化2.4%-2.65% 。</w:t>
            </w:r>
          </w:p>
          <w:p w14:paraId="7A72B48B">
            <w:pPr>
              <w:spacing w:line="200" w:lineRule="exact"/>
            </w:pPr>
            <w:r>
              <w:rPr>
                <w:rFonts w:ascii="方正黑体_GBK" w:hAnsi="方正黑体_GBK" w:eastAsia="方正黑体_GBK" w:cs="宋体"/>
                <w:sz w:val="18"/>
                <w:szCs w:val="18"/>
              </w:rPr>
              <w:t>R1份额：业绩比较基准为年化2.6%-2.85% 。</w:t>
            </w:r>
          </w:p>
          <w:p w14:paraId="4F415C92">
            <w:pPr>
              <w:spacing w:line="200" w:lineRule="exact"/>
            </w:pPr>
            <w:r>
              <w:rPr>
                <w:rFonts w:ascii="方正黑体_GBK" w:hAnsi="方正黑体_GBK" w:eastAsia="方正黑体_GBK" w:cs="宋体"/>
                <w:sz w:val="18"/>
                <w:szCs w:val="18"/>
              </w:rPr>
              <w:t>Q2份额：业绩比较基准为年化2.4%-2.65% 。</w:t>
            </w:r>
          </w:p>
          <w:p w14:paraId="75ADD410">
            <w:pPr>
              <w:spacing w:line="200" w:lineRule="exact"/>
            </w:pPr>
            <w:r>
              <w:rPr>
                <w:rFonts w:ascii="方正黑体_GBK" w:hAnsi="方正黑体_GBK" w:eastAsia="方正黑体_GBK" w:cs="宋体"/>
                <w:sz w:val="18"/>
                <w:szCs w:val="18"/>
              </w:rPr>
              <w:t>R2份额：业绩比较基准为年化2.6%-2.85% 。</w:t>
            </w:r>
          </w:p>
          <w:p w14:paraId="4873A549">
            <w:pPr>
              <w:spacing w:line="200" w:lineRule="exact"/>
            </w:pPr>
            <w:r>
              <w:rPr>
                <w:rFonts w:ascii="方正黑体_GBK" w:hAnsi="方正黑体_GBK" w:eastAsia="方正黑体_GBK" w:cs="宋体"/>
                <w:sz w:val="18"/>
                <w:szCs w:val="18"/>
              </w:rPr>
              <w:t>Q3份额：业绩比较基准为年化2.4%-2.65% 。</w:t>
            </w:r>
          </w:p>
          <w:p w14:paraId="3A3F0C8E">
            <w:pPr>
              <w:spacing w:line="200" w:lineRule="exact"/>
            </w:pPr>
            <w:r>
              <w:rPr>
                <w:rFonts w:ascii="方正黑体_GBK" w:hAnsi="方正黑体_GBK" w:eastAsia="方正黑体_GBK" w:cs="宋体"/>
                <w:sz w:val="18"/>
                <w:szCs w:val="18"/>
              </w:rPr>
              <w:t>R3份额：业绩比较基准为年化2.6%-2.85% 。</w:t>
            </w:r>
          </w:p>
          <w:p w14:paraId="5A7728E9">
            <w:pPr>
              <w:spacing w:line="200" w:lineRule="exact"/>
            </w:pPr>
            <w:r>
              <w:rPr>
                <w:rFonts w:ascii="方正黑体_GBK" w:hAnsi="方正黑体_GBK" w:eastAsia="方正黑体_GBK" w:cs="宋体"/>
                <w:sz w:val="18"/>
                <w:szCs w:val="18"/>
              </w:rPr>
              <w:t>B1份额：业绩比较基准为年化2.4%-2.65% 。</w:t>
            </w:r>
          </w:p>
          <w:p w14:paraId="117EAD6C">
            <w:pPr>
              <w:spacing w:line="200" w:lineRule="exact"/>
            </w:pPr>
            <w:r>
              <w:rPr>
                <w:rFonts w:ascii="方正黑体_GBK" w:hAnsi="方正黑体_GBK" w:eastAsia="方正黑体_GBK" w:cs="宋体"/>
                <w:sz w:val="18"/>
                <w:szCs w:val="18"/>
              </w:rPr>
              <w:t>C1份额：业绩比较基准为年化2.45%-2.7% 。</w:t>
            </w:r>
          </w:p>
          <w:p w14:paraId="0650274E">
            <w:pPr>
              <w:spacing w:line="200" w:lineRule="exact"/>
            </w:pPr>
            <w:r>
              <w:rPr>
                <w:rFonts w:ascii="方正黑体_GBK" w:hAnsi="方正黑体_GBK" w:eastAsia="方正黑体_GBK" w:cs="宋体"/>
                <w:sz w:val="18"/>
                <w:szCs w:val="18"/>
              </w:rPr>
              <w:t>D1份额：业绩比较基准为年化2.5%-2.75% 。</w:t>
            </w:r>
          </w:p>
          <w:p w14:paraId="788CA90B">
            <w:pPr>
              <w:spacing w:line="200" w:lineRule="exact"/>
            </w:pPr>
            <w:r>
              <w:rPr>
                <w:rFonts w:ascii="方正黑体_GBK" w:hAnsi="方正黑体_GBK" w:eastAsia="方正黑体_GBK" w:cs="宋体"/>
                <w:sz w:val="18"/>
                <w:szCs w:val="18"/>
              </w:rPr>
              <w:t>E1份额：业绩比较基准为年化2.6%-2.85% 。</w:t>
            </w:r>
          </w:p>
          <w:p w14:paraId="344BF987">
            <w:pPr>
              <w:spacing w:line="200" w:lineRule="exact"/>
            </w:pPr>
            <w:r>
              <w:rPr>
                <w:rFonts w:ascii="方正黑体_GBK" w:hAnsi="方正黑体_GBK" w:eastAsia="方正黑体_GBK" w:cs="宋体"/>
                <w:sz w:val="18"/>
                <w:szCs w:val="18"/>
              </w:rPr>
              <w:t>F1份额：业绩比较基准为年化2.5%-2.75% 。</w:t>
            </w:r>
          </w:p>
          <w:p w14:paraId="1AA2A781">
            <w:pPr>
              <w:spacing w:line="200" w:lineRule="exact"/>
            </w:pPr>
            <w:r>
              <w:rPr>
                <w:rFonts w:ascii="方正黑体_GBK" w:hAnsi="方正黑体_GBK" w:eastAsia="方正黑体_GBK" w:cs="宋体"/>
                <w:sz w:val="18"/>
                <w:szCs w:val="18"/>
              </w:rPr>
              <w:t>G1份额：业绩比较基准为年化2.55%-2.8% 。</w:t>
            </w:r>
          </w:p>
          <w:p w14:paraId="6CA00D8B">
            <w:pPr>
              <w:spacing w:line="200" w:lineRule="exact"/>
            </w:pPr>
            <w:r>
              <w:rPr>
                <w:rFonts w:ascii="方正黑体_GBK" w:hAnsi="方正黑体_GBK" w:eastAsia="方正黑体_GBK" w:cs="宋体"/>
                <w:sz w:val="18"/>
                <w:szCs w:val="18"/>
              </w:rPr>
              <w:t>I1份额：业绩比较基准为年化2.6%-2.85% 。</w:t>
            </w:r>
          </w:p>
          <w:p w14:paraId="2766D454">
            <w:pPr>
              <w:spacing w:line="200" w:lineRule="exact"/>
            </w:pPr>
            <w:r>
              <w:rPr>
                <w:rFonts w:ascii="方正黑体_GBK" w:hAnsi="方正黑体_GBK" w:eastAsia="方正黑体_GBK" w:cs="宋体"/>
                <w:sz w:val="18"/>
                <w:szCs w:val="18"/>
              </w:rPr>
              <w:t>J1份额：业绩比较基准为年化2.45%-2.7% 。</w:t>
            </w:r>
          </w:p>
          <w:p w14:paraId="5EECD6F8">
            <w:pPr>
              <w:spacing w:line="200" w:lineRule="exact"/>
            </w:pPr>
            <w:r>
              <w:rPr>
                <w:rFonts w:ascii="方正黑体_GBK" w:hAnsi="方正黑体_GBK" w:eastAsia="方正黑体_GBK" w:cs="宋体"/>
                <w:sz w:val="18"/>
                <w:szCs w:val="18"/>
              </w:rPr>
              <w:t>K1份额：业绩比较基准为年化2.4%-2.65% 。</w:t>
            </w:r>
          </w:p>
          <w:p w14:paraId="25A63430">
            <w:pPr>
              <w:spacing w:line="200" w:lineRule="exact"/>
            </w:pPr>
            <w:r>
              <w:rPr>
                <w:rFonts w:ascii="方正黑体_GBK" w:hAnsi="方正黑体_GBK" w:eastAsia="方正黑体_GBK" w:cs="宋体"/>
                <w:sz w:val="18"/>
                <w:szCs w:val="18"/>
              </w:rPr>
              <w:t>L1份额：业绩比较基准为年化2.5%-2.75% 。</w:t>
            </w:r>
          </w:p>
          <w:p w14:paraId="4E1BE1F2">
            <w:pPr>
              <w:spacing w:line="200" w:lineRule="exact"/>
            </w:pPr>
            <w:r>
              <w:rPr>
                <w:rFonts w:ascii="方正黑体_GBK" w:hAnsi="方正黑体_GBK" w:eastAsia="方正黑体_GBK" w:cs="宋体"/>
                <w:sz w:val="18"/>
                <w:szCs w:val="18"/>
              </w:rPr>
              <w:t>M1份额：业绩比较基准为年化2.4%-2.65% 。</w:t>
            </w:r>
          </w:p>
          <w:p w14:paraId="7CA20167">
            <w:pPr>
              <w:spacing w:line="200" w:lineRule="exact"/>
            </w:pPr>
            <w:r>
              <w:rPr>
                <w:rFonts w:ascii="方正黑体_GBK" w:hAnsi="方正黑体_GBK" w:eastAsia="方正黑体_GBK" w:cs="宋体"/>
                <w:sz w:val="18"/>
                <w:szCs w:val="18"/>
              </w:rPr>
              <w:t>N1份额：业绩比较基准为年化2.65%-2.9% 。</w:t>
            </w:r>
          </w:p>
          <w:p w14:paraId="194218CD">
            <w:pPr>
              <w:spacing w:line="200" w:lineRule="exact"/>
            </w:pPr>
            <w:r>
              <w:rPr>
                <w:rFonts w:ascii="方正黑体_GBK" w:hAnsi="方正黑体_GBK" w:eastAsia="方正黑体_GBK" w:cs="宋体"/>
                <w:sz w:val="18"/>
                <w:szCs w:val="18"/>
              </w:rPr>
              <w:t>O1份额：业绩比较基准为年化2.5%-2.75% 。</w:t>
            </w:r>
          </w:p>
          <w:p w14:paraId="1A2DDD40">
            <w:pPr>
              <w:spacing w:line="200" w:lineRule="exact"/>
            </w:pPr>
            <w:r>
              <w:rPr>
                <w:rFonts w:ascii="方正黑体_GBK" w:hAnsi="方正黑体_GBK" w:eastAsia="方正黑体_GBK" w:cs="宋体"/>
                <w:sz w:val="18"/>
                <w:szCs w:val="18"/>
              </w:rPr>
              <w:t>S1份额：业绩比较基准为年化2.55%-2.8% 。</w:t>
            </w:r>
          </w:p>
          <w:p w14:paraId="253ECD8E">
            <w:pPr>
              <w:spacing w:line="200" w:lineRule="exact"/>
            </w:pPr>
            <w:r>
              <w:rPr>
                <w:rFonts w:ascii="方正黑体_GBK" w:hAnsi="方正黑体_GBK" w:eastAsia="方正黑体_GBK" w:cs="宋体"/>
                <w:sz w:val="18"/>
                <w:szCs w:val="18"/>
              </w:rPr>
              <w:t>S2份额：业绩比较基准为年化2.55%-2.8% 。</w:t>
            </w:r>
          </w:p>
          <w:p w14:paraId="610B84D9">
            <w:pPr>
              <w:spacing w:line="200" w:lineRule="exact"/>
            </w:pPr>
            <w:r>
              <w:rPr>
                <w:rFonts w:ascii="方正黑体_GBK" w:hAnsi="方正黑体_GBK" w:eastAsia="方正黑体_GBK" w:cs="宋体"/>
                <w:sz w:val="18"/>
                <w:szCs w:val="18"/>
              </w:rPr>
              <w:t>S3份额：业绩比较基准为年化2.55%-2.8% 。</w:t>
            </w:r>
          </w:p>
          <w:p w14:paraId="560AA4B9">
            <w:pPr>
              <w:spacing w:line="200" w:lineRule="exact"/>
            </w:pPr>
            <w:r>
              <w:rPr>
                <w:rFonts w:ascii="方正黑体_GBK" w:hAnsi="方正黑体_GBK" w:eastAsia="方正黑体_GBK" w:cs="宋体"/>
                <w:sz w:val="18"/>
                <w:szCs w:val="18"/>
              </w:rPr>
              <w:t>T1份额：业绩比较基准为年化2.65%-2.9% 。</w:t>
            </w:r>
          </w:p>
          <w:p w14:paraId="2E1802BC">
            <w:pPr>
              <w:spacing w:line="200" w:lineRule="exact"/>
            </w:pPr>
            <w:r>
              <w:rPr>
                <w:rFonts w:ascii="方正黑体_GBK" w:hAnsi="方正黑体_GBK" w:eastAsia="方正黑体_GBK" w:cs="宋体"/>
                <w:sz w:val="18"/>
                <w:szCs w:val="18"/>
              </w:rPr>
              <w:t>T2份额：业绩比较基准为年化2.65%-2.9% 。</w:t>
            </w:r>
          </w:p>
          <w:p w14:paraId="593F738B">
            <w:pPr>
              <w:spacing w:line="200" w:lineRule="exact"/>
            </w:pPr>
            <w:r>
              <w:rPr>
                <w:rFonts w:ascii="方正黑体_GBK" w:hAnsi="方正黑体_GBK" w:eastAsia="方正黑体_GBK" w:cs="宋体"/>
                <w:sz w:val="18"/>
                <w:szCs w:val="18"/>
              </w:rPr>
              <w:t>T3份额：业绩比较基准为年化2.65%-2.9% 。</w:t>
            </w:r>
          </w:p>
          <w:p w14:paraId="19D042D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3A7C6B3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008A0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AA3D1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26601D2">
            <w:pPr>
              <w:spacing w:line="200" w:lineRule="exact"/>
            </w:pPr>
            <w:r>
              <w:rPr>
                <w:rFonts w:ascii="方正黑体_GBK" w:hAnsi="方正黑体_GBK" w:eastAsia="方正黑体_GBK" w:cs="宋体"/>
                <w:b/>
                <w:sz w:val="18"/>
                <w:szCs w:val="18"/>
              </w:rPr>
              <w:t>认/申购费：本理财产品暂不收取认/申购费。</w:t>
            </w:r>
          </w:p>
          <w:p w14:paraId="62C5B75E">
            <w:pPr>
              <w:spacing w:line="200" w:lineRule="exact"/>
            </w:pPr>
            <w:r>
              <w:rPr>
                <w:rFonts w:ascii="方正黑体_GBK" w:hAnsi="方正黑体_GBK" w:eastAsia="方正黑体_GBK" w:cs="宋体"/>
                <w:b/>
                <w:sz w:val="18"/>
                <w:szCs w:val="18"/>
              </w:rPr>
              <w:t>赎回费：本理财产品暂不收取赎回费。</w:t>
            </w:r>
          </w:p>
          <w:p w14:paraId="339D7BE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4352A33">
            <w:pPr>
              <w:spacing w:line="200" w:lineRule="exact"/>
            </w:pPr>
            <w:r>
              <w:rPr>
                <w:rFonts w:ascii="方正黑体_GBK" w:hAnsi="方正黑体_GBK" w:eastAsia="方正黑体_GBK" w:cs="宋体"/>
                <w:b/>
                <w:sz w:val="18"/>
                <w:szCs w:val="18"/>
              </w:rPr>
              <w:t>A份额：销售费年化0.2%</w:t>
            </w:r>
          </w:p>
          <w:p w14:paraId="1F4B2007">
            <w:pPr>
              <w:spacing w:line="200" w:lineRule="exact"/>
            </w:pPr>
            <w:r>
              <w:rPr>
                <w:rFonts w:ascii="方正黑体_GBK" w:hAnsi="方正黑体_GBK" w:eastAsia="方正黑体_GBK" w:cs="宋体"/>
                <w:b/>
                <w:sz w:val="18"/>
                <w:szCs w:val="18"/>
              </w:rPr>
              <w:t>C份额：销售费年化0.2%</w:t>
            </w:r>
          </w:p>
          <w:p w14:paraId="373A0619">
            <w:pPr>
              <w:spacing w:line="200" w:lineRule="exact"/>
            </w:pPr>
            <w:r>
              <w:rPr>
                <w:rFonts w:ascii="方正黑体_GBK" w:hAnsi="方正黑体_GBK" w:eastAsia="方正黑体_GBK" w:cs="宋体"/>
                <w:b/>
                <w:sz w:val="18"/>
                <w:szCs w:val="18"/>
              </w:rPr>
              <w:t>E份额：销售费年化0.2%</w:t>
            </w:r>
          </w:p>
          <w:p w14:paraId="6D76B24B">
            <w:pPr>
              <w:spacing w:line="200" w:lineRule="exact"/>
            </w:pPr>
            <w:r>
              <w:rPr>
                <w:rFonts w:ascii="方正黑体_GBK" w:hAnsi="方正黑体_GBK" w:eastAsia="方正黑体_GBK" w:cs="宋体"/>
                <w:b/>
                <w:sz w:val="18"/>
                <w:szCs w:val="18"/>
              </w:rPr>
              <w:t>G份额：销售费年化0.2%</w:t>
            </w:r>
          </w:p>
          <w:p w14:paraId="5D1C053D">
            <w:pPr>
              <w:spacing w:line="200" w:lineRule="exact"/>
            </w:pPr>
            <w:r>
              <w:rPr>
                <w:rFonts w:ascii="方正黑体_GBK" w:hAnsi="方正黑体_GBK" w:eastAsia="方正黑体_GBK" w:cs="宋体"/>
                <w:b/>
                <w:sz w:val="18"/>
                <w:szCs w:val="18"/>
              </w:rPr>
              <w:t>B2份额：销售费年化0.2%</w:t>
            </w:r>
          </w:p>
          <w:p w14:paraId="73F085A6">
            <w:pPr>
              <w:spacing w:line="200" w:lineRule="exact"/>
            </w:pPr>
            <w:r>
              <w:rPr>
                <w:rFonts w:ascii="方正黑体_GBK" w:hAnsi="方正黑体_GBK" w:eastAsia="方正黑体_GBK" w:cs="宋体"/>
                <w:b/>
                <w:sz w:val="18"/>
                <w:szCs w:val="18"/>
              </w:rPr>
              <w:t>C2份额：销售费年化0.15%</w:t>
            </w:r>
          </w:p>
          <w:p w14:paraId="1988A28B">
            <w:pPr>
              <w:spacing w:line="200" w:lineRule="exact"/>
            </w:pPr>
            <w:r>
              <w:rPr>
                <w:rFonts w:ascii="方正黑体_GBK" w:hAnsi="方正黑体_GBK" w:eastAsia="方正黑体_GBK" w:cs="宋体"/>
                <w:b/>
                <w:sz w:val="18"/>
                <w:szCs w:val="18"/>
              </w:rPr>
              <w:t>D2份额：销售费年化0.15%</w:t>
            </w:r>
          </w:p>
          <w:p w14:paraId="333FE037">
            <w:pPr>
              <w:spacing w:line="200" w:lineRule="exact"/>
            </w:pPr>
            <w:r>
              <w:rPr>
                <w:rFonts w:ascii="方正黑体_GBK" w:hAnsi="方正黑体_GBK" w:eastAsia="方正黑体_GBK" w:cs="宋体"/>
                <w:b/>
                <w:sz w:val="18"/>
                <w:szCs w:val="18"/>
              </w:rPr>
              <w:t>E2份额：销售费年化0.05%</w:t>
            </w:r>
          </w:p>
          <w:p w14:paraId="334D5038">
            <w:pPr>
              <w:spacing w:line="200" w:lineRule="exact"/>
            </w:pPr>
            <w:r>
              <w:rPr>
                <w:rFonts w:ascii="方正黑体_GBK" w:hAnsi="方正黑体_GBK" w:eastAsia="方正黑体_GBK" w:cs="宋体"/>
                <w:b/>
                <w:sz w:val="18"/>
                <w:szCs w:val="18"/>
              </w:rPr>
              <w:t>B3份额：销售费年化0.2%</w:t>
            </w:r>
          </w:p>
          <w:p w14:paraId="7E07AFDB">
            <w:pPr>
              <w:spacing w:line="200" w:lineRule="exact"/>
            </w:pPr>
            <w:r>
              <w:rPr>
                <w:rFonts w:ascii="方正黑体_GBK" w:hAnsi="方正黑体_GBK" w:eastAsia="方正黑体_GBK" w:cs="宋体"/>
                <w:b/>
                <w:sz w:val="18"/>
                <w:szCs w:val="18"/>
              </w:rPr>
              <w:t>C3份额：销售费年化0.15%</w:t>
            </w:r>
          </w:p>
          <w:p w14:paraId="125D3FDC">
            <w:pPr>
              <w:spacing w:line="200" w:lineRule="exact"/>
            </w:pPr>
            <w:r>
              <w:rPr>
                <w:rFonts w:ascii="方正黑体_GBK" w:hAnsi="方正黑体_GBK" w:eastAsia="方正黑体_GBK" w:cs="宋体"/>
                <w:b/>
                <w:sz w:val="18"/>
                <w:szCs w:val="18"/>
              </w:rPr>
              <w:t>D3份额：销售费年化0.15%</w:t>
            </w:r>
          </w:p>
          <w:p w14:paraId="111C9D5A">
            <w:pPr>
              <w:spacing w:line="200" w:lineRule="exact"/>
            </w:pPr>
            <w:r>
              <w:rPr>
                <w:rFonts w:ascii="方正黑体_GBK" w:hAnsi="方正黑体_GBK" w:eastAsia="方正黑体_GBK" w:cs="宋体"/>
                <w:b/>
                <w:sz w:val="18"/>
                <w:szCs w:val="18"/>
              </w:rPr>
              <w:t>E3份额：销售费年化0.05%</w:t>
            </w:r>
          </w:p>
          <w:p w14:paraId="298A5C49">
            <w:pPr>
              <w:spacing w:line="200" w:lineRule="exact"/>
            </w:pPr>
            <w:r>
              <w:rPr>
                <w:rFonts w:ascii="方正黑体_GBK" w:hAnsi="方正黑体_GBK" w:eastAsia="方正黑体_GBK" w:cs="宋体"/>
                <w:b/>
                <w:sz w:val="18"/>
                <w:szCs w:val="18"/>
              </w:rPr>
              <w:t>F2份额：销售费年化0.15%</w:t>
            </w:r>
          </w:p>
          <w:p w14:paraId="636F480D">
            <w:pPr>
              <w:spacing w:line="200" w:lineRule="exact"/>
            </w:pPr>
            <w:r>
              <w:rPr>
                <w:rFonts w:ascii="方正黑体_GBK" w:hAnsi="方正黑体_GBK" w:eastAsia="方正黑体_GBK" w:cs="宋体"/>
                <w:b/>
                <w:sz w:val="18"/>
                <w:szCs w:val="18"/>
              </w:rPr>
              <w:t>F3份额：销售费年化0.15%</w:t>
            </w:r>
          </w:p>
          <w:p w14:paraId="09C60166">
            <w:pPr>
              <w:spacing w:line="200" w:lineRule="exact"/>
            </w:pPr>
            <w:r>
              <w:rPr>
                <w:rFonts w:ascii="方正黑体_GBK" w:hAnsi="方正黑体_GBK" w:eastAsia="方正黑体_GBK" w:cs="宋体"/>
                <w:b/>
                <w:sz w:val="18"/>
                <w:szCs w:val="18"/>
              </w:rPr>
              <w:t>G2份额：销售费年化0.1%</w:t>
            </w:r>
          </w:p>
          <w:p w14:paraId="26EF0630">
            <w:pPr>
              <w:spacing w:line="200" w:lineRule="exact"/>
            </w:pPr>
            <w:r>
              <w:rPr>
                <w:rFonts w:ascii="方正黑体_GBK" w:hAnsi="方正黑体_GBK" w:eastAsia="方正黑体_GBK" w:cs="宋体"/>
                <w:b/>
                <w:sz w:val="18"/>
                <w:szCs w:val="18"/>
              </w:rPr>
              <w:t>G3份额：销售费年化0.1%</w:t>
            </w:r>
          </w:p>
          <w:p w14:paraId="11AA04DC">
            <w:pPr>
              <w:spacing w:line="200" w:lineRule="exact"/>
            </w:pPr>
            <w:r>
              <w:rPr>
                <w:rFonts w:ascii="方正黑体_GBK" w:hAnsi="方正黑体_GBK" w:eastAsia="方正黑体_GBK" w:cs="宋体"/>
                <w:b/>
                <w:sz w:val="18"/>
                <w:szCs w:val="18"/>
              </w:rPr>
              <w:t>J2份额：销售费年化0.25%</w:t>
            </w:r>
          </w:p>
          <w:p w14:paraId="1ACDBDAB">
            <w:pPr>
              <w:spacing w:line="200" w:lineRule="exact"/>
            </w:pPr>
            <w:r>
              <w:rPr>
                <w:rFonts w:ascii="方正黑体_GBK" w:hAnsi="方正黑体_GBK" w:eastAsia="方正黑体_GBK" w:cs="宋体"/>
                <w:b/>
                <w:sz w:val="18"/>
                <w:szCs w:val="18"/>
              </w:rPr>
              <w:t>K2份额：销售费年化0.3%</w:t>
            </w:r>
          </w:p>
          <w:p w14:paraId="0C18283D">
            <w:pPr>
              <w:spacing w:line="200" w:lineRule="exact"/>
            </w:pPr>
            <w:r>
              <w:rPr>
                <w:rFonts w:ascii="方正黑体_GBK" w:hAnsi="方正黑体_GBK" w:eastAsia="方正黑体_GBK" w:cs="宋体"/>
                <w:b/>
                <w:sz w:val="18"/>
                <w:szCs w:val="18"/>
              </w:rPr>
              <w:t>L2份额：销售费年化0.15%</w:t>
            </w:r>
          </w:p>
          <w:p w14:paraId="6A5C791F">
            <w:pPr>
              <w:spacing w:line="200" w:lineRule="exact"/>
            </w:pPr>
            <w:r>
              <w:rPr>
                <w:rFonts w:ascii="方正黑体_GBK" w:hAnsi="方正黑体_GBK" w:eastAsia="方正黑体_GBK" w:cs="宋体"/>
                <w:b/>
                <w:sz w:val="18"/>
                <w:szCs w:val="18"/>
              </w:rPr>
              <w:t>J3份额：销售费年化0.25%</w:t>
            </w:r>
          </w:p>
          <w:p w14:paraId="007EC2B7">
            <w:pPr>
              <w:spacing w:line="200" w:lineRule="exact"/>
            </w:pPr>
            <w:r>
              <w:rPr>
                <w:rFonts w:ascii="方正黑体_GBK" w:hAnsi="方正黑体_GBK" w:eastAsia="方正黑体_GBK" w:cs="宋体"/>
                <w:b/>
                <w:sz w:val="18"/>
                <w:szCs w:val="18"/>
              </w:rPr>
              <w:t>K3份额：销售费年化0.3%</w:t>
            </w:r>
          </w:p>
          <w:p w14:paraId="1A0B27F8">
            <w:pPr>
              <w:spacing w:line="200" w:lineRule="exact"/>
            </w:pPr>
            <w:r>
              <w:rPr>
                <w:rFonts w:ascii="方正黑体_GBK" w:hAnsi="方正黑体_GBK" w:eastAsia="方正黑体_GBK" w:cs="宋体"/>
                <w:b/>
                <w:sz w:val="18"/>
                <w:szCs w:val="18"/>
              </w:rPr>
              <w:t>L3份额：销售费年化0.2%</w:t>
            </w:r>
          </w:p>
          <w:p w14:paraId="3B195EBF">
            <w:pPr>
              <w:spacing w:line="200" w:lineRule="exact"/>
            </w:pPr>
            <w:r>
              <w:rPr>
                <w:rFonts w:ascii="方正黑体_GBK" w:hAnsi="方正黑体_GBK" w:eastAsia="方正黑体_GBK" w:cs="宋体"/>
                <w:b/>
                <w:sz w:val="18"/>
                <w:szCs w:val="18"/>
              </w:rPr>
              <w:t>M2份额：销售费年化0.2%</w:t>
            </w:r>
          </w:p>
          <w:p w14:paraId="1C4C3442">
            <w:pPr>
              <w:spacing w:line="200" w:lineRule="exact"/>
            </w:pPr>
            <w:r>
              <w:rPr>
                <w:rFonts w:ascii="方正黑体_GBK" w:hAnsi="方正黑体_GBK" w:eastAsia="方正黑体_GBK" w:cs="宋体"/>
                <w:b/>
                <w:sz w:val="18"/>
                <w:szCs w:val="18"/>
              </w:rPr>
              <w:t>M3份额：销售费年化0.2%</w:t>
            </w:r>
          </w:p>
          <w:p w14:paraId="49A42A08">
            <w:pPr>
              <w:spacing w:line="200" w:lineRule="exact"/>
            </w:pPr>
            <w:r>
              <w:rPr>
                <w:rFonts w:ascii="方正黑体_GBK" w:hAnsi="方正黑体_GBK" w:eastAsia="方正黑体_GBK" w:cs="宋体"/>
                <w:b/>
                <w:sz w:val="18"/>
                <w:szCs w:val="18"/>
              </w:rPr>
              <w:t>O2份额：销售费年化0.2%</w:t>
            </w:r>
          </w:p>
          <w:p w14:paraId="0A17D120">
            <w:pPr>
              <w:spacing w:line="200" w:lineRule="exact"/>
            </w:pPr>
            <w:r>
              <w:rPr>
                <w:rFonts w:ascii="方正黑体_GBK" w:hAnsi="方正黑体_GBK" w:eastAsia="方正黑体_GBK" w:cs="宋体"/>
                <w:b/>
                <w:sz w:val="18"/>
                <w:szCs w:val="18"/>
              </w:rPr>
              <w:t>O3份额：销售费年化0.2%</w:t>
            </w:r>
          </w:p>
          <w:p w14:paraId="0A024B3D">
            <w:pPr>
              <w:spacing w:line="200" w:lineRule="exact"/>
            </w:pPr>
            <w:r>
              <w:rPr>
                <w:rFonts w:ascii="方正黑体_GBK" w:hAnsi="方正黑体_GBK" w:eastAsia="方正黑体_GBK" w:cs="宋体"/>
                <w:b/>
                <w:sz w:val="18"/>
                <w:szCs w:val="18"/>
              </w:rPr>
              <w:t>Q1份额：销售费年化0.2%</w:t>
            </w:r>
          </w:p>
          <w:p w14:paraId="7B775347">
            <w:pPr>
              <w:spacing w:line="200" w:lineRule="exact"/>
            </w:pPr>
            <w:r>
              <w:rPr>
                <w:rFonts w:ascii="方正黑体_GBK" w:hAnsi="方正黑体_GBK" w:eastAsia="方正黑体_GBK" w:cs="宋体"/>
                <w:b/>
                <w:sz w:val="18"/>
                <w:szCs w:val="18"/>
              </w:rPr>
              <w:t>R1份额：销售费年化0.05%</w:t>
            </w:r>
          </w:p>
          <w:p w14:paraId="331E9632">
            <w:pPr>
              <w:spacing w:line="200" w:lineRule="exact"/>
            </w:pPr>
            <w:r>
              <w:rPr>
                <w:rFonts w:ascii="方正黑体_GBK" w:hAnsi="方正黑体_GBK" w:eastAsia="方正黑体_GBK" w:cs="宋体"/>
                <w:b/>
                <w:sz w:val="18"/>
                <w:szCs w:val="18"/>
              </w:rPr>
              <w:t>Q2份额：销售费年化0.2%</w:t>
            </w:r>
          </w:p>
          <w:p w14:paraId="1599D696">
            <w:pPr>
              <w:spacing w:line="200" w:lineRule="exact"/>
            </w:pPr>
            <w:r>
              <w:rPr>
                <w:rFonts w:ascii="方正黑体_GBK" w:hAnsi="方正黑体_GBK" w:eastAsia="方正黑体_GBK" w:cs="宋体"/>
                <w:b/>
                <w:sz w:val="18"/>
                <w:szCs w:val="18"/>
              </w:rPr>
              <w:t>R2份额：销售费年化0.05%</w:t>
            </w:r>
          </w:p>
          <w:p w14:paraId="1377262F">
            <w:pPr>
              <w:spacing w:line="200" w:lineRule="exact"/>
            </w:pPr>
            <w:r>
              <w:rPr>
                <w:rFonts w:ascii="方正黑体_GBK" w:hAnsi="方正黑体_GBK" w:eastAsia="方正黑体_GBK" w:cs="宋体"/>
                <w:b/>
                <w:sz w:val="18"/>
                <w:szCs w:val="18"/>
              </w:rPr>
              <w:t>Q3份额：销售费年化0.2%</w:t>
            </w:r>
          </w:p>
          <w:p w14:paraId="1424F904">
            <w:pPr>
              <w:spacing w:line="200" w:lineRule="exact"/>
            </w:pPr>
            <w:r>
              <w:rPr>
                <w:rFonts w:ascii="方正黑体_GBK" w:hAnsi="方正黑体_GBK" w:eastAsia="方正黑体_GBK" w:cs="宋体"/>
                <w:b/>
                <w:sz w:val="18"/>
                <w:szCs w:val="18"/>
              </w:rPr>
              <w:t>R3份额：销售费年化0.05%</w:t>
            </w:r>
          </w:p>
          <w:p w14:paraId="6C1976FC">
            <w:pPr>
              <w:spacing w:line="200" w:lineRule="exact"/>
            </w:pPr>
            <w:r>
              <w:rPr>
                <w:rFonts w:ascii="方正黑体_GBK" w:hAnsi="方正黑体_GBK" w:eastAsia="方正黑体_GBK" w:cs="宋体"/>
                <w:b/>
                <w:sz w:val="18"/>
                <w:szCs w:val="18"/>
              </w:rPr>
              <w:t>B1份额：销售费年化0.2%</w:t>
            </w:r>
          </w:p>
          <w:p w14:paraId="4FE7D06F">
            <w:pPr>
              <w:spacing w:line="200" w:lineRule="exact"/>
            </w:pPr>
            <w:r>
              <w:rPr>
                <w:rFonts w:ascii="方正黑体_GBK" w:hAnsi="方正黑体_GBK" w:eastAsia="方正黑体_GBK" w:cs="宋体"/>
                <w:b/>
                <w:sz w:val="18"/>
                <w:szCs w:val="18"/>
              </w:rPr>
              <w:t>C1份额：销售费年化0.15%</w:t>
            </w:r>
          </w:p>
          <w:p w14:paraId="67325EEA">
            <w:pPr>
              <w:spacing w:line="200" w:lineRule="exact"/>
            </w:pPr>
            <w:r>
              <w:rPr>
                <w:rFonts w:ascii="方正黑体_GBK" w:hAnsi="方正黑体_GBK" w:eastAsia="方正黑体_GBK" w:cs="宋体"/>
                <w:b/>
                <w:sz w:val="18"/>
                <w:szCs w:val="18"/>
              </w:rPr>
              <w:t>D1份额：销售费年化0.15%</w:t>
            </w:r>
          </w:p>
          <w:p w14:paraId="5FC6CEE0">
            <w:pPr>
              <w:spacing w:line="200" w:lineRule="exact"/>
            </w:pPr>
            <w:r>
              <w:rPr>
                <w:rFonts w:ascii="方正黑体_GBK" w:hAnsi="方正黑体_GBK" w:eastAsia="方正黑体_GBK" w:cs="宋体"/>
                <w:b/>
                <w:sz w:val="18"/>
                <w:szCs w:val="18"/>
              </w:rPr>
              <w:t>E1份额：销售费年化0.05%</w:t>
            </w:r>
          </w:p>
          <w:p w14:paraId="6D5E4B65">
            <w:pPr>
              <w:spacing w:line="200" w:lineRule="exact"/>
            </w:pPr>
            <w:r>
              <w:rPr>
                <w:rFonts w:ascii="方正黑体_GBK" w:hAnsi="方正黑体_GBK" w:eastAsia="方正黑体_GBK" w:cs="宋体"/>
                <w:b/>
                <w:sz w:val="18"/>
                <w:szCs w:val="18"/>
              </w:rPr>
              <w:t>F1份额：销售费年化0.15%</w:t>
            </w:r>
          </w:p>
          <w:p w14:paraId="772BF885">
            <w:pPr>
              <w:spacing w:line="200" w:lineRule="exact"/>
            </w:pPr>
            <w:r>
              <w:rPr>
                <w:rFonts w:ascii="方正黑体_GBK" w:hAnsi="方正黑体_GBK" w:eastAsia="方正黑体_GBK" w:cs="宋体"/>
                <w:b/>
                <w:sz w:val="18"/>
                <w:szCs w:val="18"/>
              </w:rPr>
              <w:t>G1份额：销售费年化0.1%</w:t>
            </w:r>
          </w:p>
          <w:p w14:paraId="39761CBC">
            <w:pPr>
              <w:spacing w:line="200" w:lineRule="exact"/>
            </w:pPr>
            <w:r>
              <w:rPr>
                <w:rFonts w:ascii="方正黑体_GBK" w:hAnsi="方正黑体_GBK" w:eastAsia="方正黑体_GBK" w:cs="宋体"/>
                <w:b/>
                <w:sz w:val="18"/>
                <w:szCs w:val="18"/>
              </w:rPr>
              <w:t>I1份额：销售费年化0.1%</w:t>
            </w:r>
          </w:p>
          <w:p w14:paraId="6E216E8D">
            <w:pPr>
              <w:spacing w:line="200" w:lineRule="exact"/>
            </w:pPr>
            <w:r>
              <w:rPr>
                <w:rFonts w:ascii="方正黑体_GBK" w:hAnsi="方正黑体_GBK" w:eastAsia="方正黑体_GBK" w:cs="宋体"/>
                <w:b/>
                <w:sz w:val="18"/>
                <w:szCs w:val="18"/>
              </w:rPr>
              <w:t>J1份额：销售费年化0.25%</w:t>
            </w:r>
          </w:p>
          <w:p w14:paraId="368EDA63">
            <w:pPr>
              <w:spacing w:line="200" w:lineRule="exact"/>
            </w:pPr>
            <w:r>
              <w:rPr>
                <w:rFonts w:ascii="方正黑体_GBK" w:hAnsi="方正黑体_GBK" w:eastAsia="方正黑体_GBK" w:cs="宋体"/>
                <w:b/>
                <w:sz w:val="18"/>
                <w:szCs w:val="18"/>
              </w:rPr>
              <w:t>K1份额：销售费年化0.3%</w:t>
            </w:r>
          </w:p>
          <w:p w14:paraId="33F0EAB1">
            <w:pPr>
              <w:spacing w:line="200" w:lineRule="exact"/>
            </w:pPr>
            <w:r>
              <w:rPr>
                <w:rFonts w:ascii="方正黑体_GBK" w:hAnsi="方正黑体_GBK" w:eastAsia="方正黑体_GBK" w:cs="宋体"/>
                <w:b/>
                <w:sz w:val="18"/>
                <w:szCs w:val="18"/>
              </w:rPr>
              <w:t>L1份额：销售费年化0.2%</w:t>
            </w:r>
          </w:p>
          <w:p w14:paraId="42A247B9">
            <w:pPr>
              <w:spacing w:line="200" w:lineRule="exact"/>
            </w:pPr>
            <w:r>
              <w:rPr>
                <w:rFonts w:ascii="方正黑体_GBK" w:hAnsi="方正黑体_GBK" w:eastAsia="方正黑体_GBK" w:cs="宋体"/>
                <w:b/>
                <w:sz w:val="18"/>
                <w:szCs w:val="18"/>
              </w:rPr>
              <w:t>M1份额：销售费年化0.2%</w:t>
            </w:r>
          </w:p>
          <w:p w14:paraId="7E4A6989">
            <w:pPr>
              <w:spacing w:line="200" w:lineRule="exact"/>
            </w:pPr>
            <w:r>
              <w:rPr>
                <w:rFonts w:ascii="方正黑体_GBK" w:hAnsi="方正黑体_GBK" w:eastAsia="方正黑体_GBK" w:cs="宋体"/>
                <w:b/>
                <w:sz w:val="18"/>
                <w:szCs w:val="18"/>
              </w:rPr>
              <w:t>N1份额：销售费年化0.05%</w:t>
            </w:r>
          </w:p>
          <w:p w14:paraId="16C5059E">
            <w:pPr>
              <w:spacing w:line="200" w:lineRule="exact"/>
            </w:pPr>
            <w:r>
              <w:rPr>
                <w:rFonts w:ascii="方正黑体_GBK" w:hAnsi="方正黑体_GBK" w:eastAsia="方正黑体_GBK" w:cs="宋体"/>
                <w:b/>
                <w:sz w:val="18"/>
                <w:szCs w:val="18"/>
              </w:rPr>
              <w:t>O1份额：销售费年化0.2%</w:t>
            </w:r>
          </w:p>
          <w:p w14:paraId="094F974D">
            <w:pPr>
              <w:spacing w:line="200" w:lineRule="exact"/>
            </w:pPr>
            <w:r>
              <w:rPr>
                <w:rFonts w:ascii="方正黑体_GBK" w:hAnsi="方正黑体_GBK" w:eastAsia="方正黑体_GBK" w:cs="宋体"/>
                <w:b/>
                <w:sz w:val="18"/>
                <w:szCs w:val="18"/>
              </w:rPr>
              <w:t>S1份额：销售费年化0.1%</w:t>
            </w:r>
          </w:p>
          <w:p w14:paraId="6277C80D">
            <w:pPr>
              <w:spacing w:line="200" w:lineRule="exact"/>
            </w:pPr>
            <w:r>
              <w:rPr>
                <w:rFonts w:ascii="方正黑体_GBK" w:hAnsi="方正黑体_GBK" w:eastAsia="方正黑体_GBK" w:cs="宋体"/>
                <w:b/>
                <w:sz w:val="18"/>
                <w:szCs w:val="18"/>
              </w:rPr>
              <w:t>S2份额：销售费年化0.1%</w:t>
            </w:r>
          </w:p>
          <w:p w14:paraId="7303DBEA">
            <w:pPr>
              <w:spacing w:line="200" w:lineRule="exact"/>
            </w:pPr>
            <w:r>
              <w:rPr>
                <w:rFonts w:ascii="方正黑体_GBK" w:hAnsi="方正黑体_GBK" w:eastAsia="方正黑体_GBK" w:cs="宋体"/>
                <w:b/>
                <w:sz w:val="18"/>
                <w:szCs w:val="18"/>
              </w:rPr>
              <w:t>S3份额：销售费年化0.1%</w:t>
            </w:r>
          </w:p>
          <w:p w14:paraId="6A1AC351">
            <w:pPr>
              <w:spacing w:line="200" w:lineRule="exact"/>
            </w:pPr>
            <w:r>
              <w:rPr>
                <w:rFonts w:ascii="方正黑体_GBK" w:hAnsi="方正黑体_GBK" w:eastAsia="方正黑体_GBK" w:cs="宋体"/>
                <w:b/>
                <w:sz w:val="18"/>
                <w:szCs w:val="18"/>
              </w:rPr>
              <w:t>T1份额：销售费年化0%</w:t>
            </w:r>
          </w:p>
          <w:p w14:paraId="6214A2EF">
            <w:pPr>
              <w:spacing w:line="200" w:lineRule="exact"/>
            </w:pPr>
            <w:r>
              <w:rPr>
                <w:rFonts w:ascii="方正黑体_GBK" w:hAnsi="方正黑体_GBK" w:eastAsia="方正黑体_GBK" w:cs="宋体"/>
                <w:b/>
                <w:sz w:val="18"/>
                <w:szCs w:val="18"/>
              </w:rPr>
              <w:t>T2份额：销售费年化0%</w:t>
            </w:r>
          </w:p>
          <w:p w14:paraId="1C2FAAC9">
            <w:pPr>
              <w:spacing w:line="200" w:lineRule="exact"/>
            </w:pPr>
            <w:r>
              <w:rPr>
                <w:rFonts w:ascii="方正黑体_GBK" w:hAnsi="方正黑体_GBK" w:eastAsia="方正黑体_GBK" w:cs="宋体"/>
                <w:b/>
                <w:sz w:val="18"/>
                <w:szCs w:val="18"/>
              </w:rPr>
              <w:t>T3份额：销售费年化0%</w:t>
            </w:r>
          </w:p>
          <w:p w14:paraId="382D6172">
            <w:pPr>
              <w:spacing w:line="200" w:lineRule="exact"/>
            </w:pPr>
            <w:r>
              <w:rPr>
                <w:rFonts w:ascii="方正黑体_GBK" w:hAnsi="方正黑体_GBK" w:eastAsia="方正黑体_GBK" w:cs="宋体"/>
                <w:b/>
                <w:sz w:val="18"/>
                <w:szCs w:val="18"/>
              </w:rPr>
              <w:t>每日计提的销售费=前一日理财产品资产净值×年化销售费率÷365</w:t>
            </w:r>
          </w:p>
          <w:p w14:paraId="0079B66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858F4BB">
            <w:pPr>
              <w:spacing w:line="200" w:lineRule="exact"/>
            </w:pPr>
            <w:r>
              <w:rPr>
                <w:rFonts w:ascii="方正黑体_GBK" w:hAnsi="方正黑体_GBK" w:eastAsia="方正黑体_GBK" w:cs="宋体"/>
                <w:b/>
                <w:sz w:val="18"/>
                <w:szCs w:val="18"/>
              </w:rPr>
              <w:t>A份额：固定管理费年化0.2%</w:t>
            </w:r>
          </w:p>
          <w:p w14:paraId="232FDFC2">
            <w:pPr>
              <w:spacing w:line="200" w:lineRule="exact"/>
            </w:pPr>
            <w:r>
              <w:rPr>
                <w:rFonts w:ascii="方正黑体_GBK" w:hAnsi="方正黑体_GBK" w:eastAsia="方正黑体_GBK" w:cs="宋体"/>
                <w:b/>
                <w:sz w:val="18"/>
                <w:szCs w:val="18"/>
              </w:rPr>
              <w:t>C份额：固定管理费年化0.2%</w:t>
            </w:r>
          </w:p>
          <w:p w14:paraId="639DDC79">
            <w:pPr>
              <w:spacing w:line="200" w:lineRule="exact"/>
            </w:pPr>
            <w:r>
              <w:rPr>
                <w:rFonts w:ascii="方正黑体_GBK" w:hAnsi="方正黑体_GBK" w:eastAsia="方正黑体_GBK" w:cs="宋体"/>
                <w:b/>
                <w:sz w:val="18"/>
                <w:szCs w:val="18"/>
              </w:rPr>
              <w:t>E份额：固定管理费年化0.2%</w:t>
            </w:r>
          </w:p>
          <w:p w14:paraId="513205F0">
            <w:pPr>
              <w:spacing w:line="200" w:lineRule="exact"/>
            </w:pPr>
            <w:r>
              <w:rPr>
                <w:rFonts w:ascii="方正黑体_GBK" w:hAnsi="方正黑体_GBK" w:eastAsia="方正黑体_GBK" w:cs="宋体"/>
                <w:b/>
                <w:sz w:val="18"/>
                <w:szCs w:val="18"/>
              </w:rPr>
              <w:t>G份额：固定管理费年化0.2%</w:t>
            </w:r>
          </w:p>
          <w:p w14:paraId="76A7288B">
            <w:pPr>
              <w:spacing w:line="200" w:lineRule="exact"/>
            </w:pPr>
            <w:r>
              <w:rPr>
                <w:rFonts w:ascii="方正黑体_GBK" w:hAnsi="方正黑体_GBK" w:eastAsia="方正黑体_GBK" w:cs="宋体"/>
                <w:b/>
                <w:sz w:val="18"/>
                <w:szCs w:val="18"/>
              </w:rPr>
              <w:t>B2份额：固定管理费年化0.2%</w:t>
            </w:r>
          </w:p>
          <w:p w14:paraId="3FEB4DBD">
            <w:pPr>
              <w:spacing w:line="200" w:lineRule="exact"/>
            </w:pPr>
            <w:r>
              <w:rPr>
                <w:rFonts w:ascii="方正黑体_GBK" w:hAnsi="方正黑体_GBK" w:eastAsia="方正黑体_GBK" w:cs="宋体"/>
                <w:b/>
                <w:sz w:val="18"/>
                <w:szCs w:val="18"/>
              </w:rPr>
              <w:t>C2份额：固定管理费年化0.2%</w:t>
            </w:r>
          </w:p>
          <w:p w14:paraId="5AB0E52B">
            <w:pPr>
              <w:spacing w:line="200" w:lineRule="exact"/>
            </w:pPr>
            <w:r>
              <w:rPr>
                <w:rFonts w:ascii="方正黑体_GBK" w:hAnsi="方正黑体_GBK" w:eastAsia="方正黑体_GBK" w:cs="宋体"/>
                <w:b/>
                <w:sz w:val="18"/>
                <w:szCs w:val="18"/>
              </w:rPr>
              <w:t>D2份额：固定管理费年化0.15%</w:t>
            </w:r>
          </w:p>
          <w:p w14:paraId="289BCCE7">
            <w:pPr>
              <w:spacing w:line="200" w:lineRule="exact"/>
            </w:pPr>
            <w:r>
              <w:rPr>
                <w:rFonts w:ascii="方正黑体_GBK" w:hAnsi="方正黑体_GBK" w:eastAsia="方正黑体_GBK" w:cs="宋体"/>
                <w:b/>
                <w:sz w:val="18"/>
                <w:szCs w:val="18"/>
              </w:rPr>
              <w:t>E2份额：固定管理费年化0.15%</w:t>
            </w:r>
          </w:p>
          <w:p w14:paraId="1C376122">
            <w:pPr>
              <w:spacing w:line="200" w:lineRule="exact"/>
            </w:pPr>
            <w:r>
              <w:rPr>
                <w:rFonts w:ascii="方正黑体_GBK" w:hAnsi="方正黑体_GBK" w:eastAsia="方正黑体_GBK" w:cs="宋体"/>
                <w:b/>
                <w:sz w:val="18"/>
                <w:szCs w:val="18"/>
              </w:rPr>
              <w:t>B3份额：固定管理费年化0.2%</w:t>
            </w:r>
          </w:p>
          <w:p w14:paraId="23B44D65">
            <w:pPr>
              <w:spacing w:line="200" w:lineRule="exact"/>
            </w:pPr>
            <w:r>
              <w:rPr>
                <w:rFonts w:ascii="方正黑体_GBK" w:hAnsi="方正黑体_GBK" w:eastAsia="方正黑体_GBK" w:cs="宋体"/>
                <w:b/>
                <w:sz w:val="18"/>
                <w:szCs w:val="18"/>
              </w:rPr>
              <w:t>C3份额：固定管理费年化0.2%</w:t>
            </w:r>
          </w:p>
          <w:p w14:paraId="23AE7431">
            <w:pPr>
              <w:spacing w:line="200" w:lineRule="exact"/>
            </w:pPr>
            <w:r>
              <w:rPr>
                <w:rFonts w:ascii="方正黑体_GBK" w:hAnsi="方正黑体_GBK" w:eastAsia="方正黑体_GBK" w:cs="宋体"/>
                <w:b/>
                <w:sz w:val="18"/>
                <w:szCs w:val="18"/>
              </w:rPr>
              <w:t>D3份额：固定管理费年化0.15%</w:t>
            </w:r>
          </w:p>
          <w:p w14:paraId="35299949">
            <w:pPr>
              <w:spacing w:line="200" w:lineRule="exact"/>
            </w:pPr>
            <w:r>
              <w:rPr>
                <w:rFonts w:ascii="方正黑体_GBK" w:hAnsi="方正黑体_GBK" w:eastAsia="方正黑体_GBK" w:cs="宋体"/>
                <w:b/>
                <w:sz w:val="18"/>
                <w:szCs w:val="18"/>
              </w:rPr>
              <w:t>E3份额：固定管理费年化0.15%</w:t>
            </w:r>
          </w:p>
          <w:p w14:paraId="200C7668">
            <w:pPr>
              <w:spacing w:line="200" w:lineRule="exact"/>
            </w:pPr>
            <w:r>
              <w:rPr>
                <w:rFonts w:ascii="方正黑体_GBK" w:hAnsi="方正黑体_GBK" w:eastAsia="方正黑体_GBK" w:cs="宋体"/>
                <w:b/>
                <w:sz w:val="18"/>
                <w:szCs w:val="18"/>
              </w:rPr>
              <w:t>F2份额：固定管理费年化0.15%</w:t>
            </w:r>
          </w:p>
          <w:p w14:paraId="639F6626">
            <w:pPr>
              <w:spacing w:line="200" w:lineRule="exact"/>
            </w:pPr>
            <w:r>
              <w:rPr>
                <w:rFonts w:ascii="方正黑体_GBK" w:hAnsi="方正黑体_GBK" w:eastAsia="方正黑体_GBK" w:cs="宋体"/>
                <w:b/>
                <w:sz w:val="18"/>
                <w:szCs w:val="18"/>
              </w:rPr>
              <w:t>F3份额：固定管理费年化0.15%</w:t>
            </w:r>
          </w:p>
          <w:p w14:paraId="493DCBDA">
            <w:pPr>
              <w:spacing w:line="200" w:lineRule="exact"/>
            </w:pPr>
            <w:r>
              <w:rPr>
                <w:rFonts w:ascii="方正黑体_GBK" w:hAnsi="方正黑体_GBK" w:eastAsia="方正黑体_GBK" w:cs="宋体"/>
                <w:b/>
                <w:sz w:val="18"/>
                <w:szCs w:val="18"/>
              </w:rPr>
              <w:t>G2份额：固定管理费年化0.15%</w:t>
            </w:r>
          </w:p>
          <w:p w14:paraId="6829E255">
            <w:pPr>
              <w:spacing w:line="200" w:lineRule="exact"/>
            </w:pPr>
            <w:r>
              <w:rPr>
                <w:rFonts w:ascii="方正黑体_GBK" w:hAnsi="方正黑体_GBK" w:eastAsia="方正黑体_GBK" w:cs="宋体"/>
                <w:b/>
                <w:sz w:val="18"/>
                <w:szCs w:val="18"/>
              </w:rPr>
              <w:t>G3份额：固定管理费年化0.15%</w:t>
            </w:r>
          </w:p>
          <w:p w14:paraId="2F134ADD">
            <w:pPr>
              <w:spacing w:line="200" w:lineRule="exact"/>
            </w:pPr>
            <w:r>
              <w:rPr>
                <w:rFonts w:ascii="方正黑体_GBK" w:hAnsi="方正黑体_GBK" w:eastAsia="方正黑体_GBK" w:cs="宋体"/>
                <w:b/>
                <w:sz w:val="18"/>
                <w:szCs w:val="18"/>
              </w:rPr>
              <w:t>J2份额：固定管理费年化0.1%</w:t>
            </w:r>
          </w:p>
          <w:p w14:paraId="441BFCC4">
            <w:pPr>
              <w:spacing w:line="200" w:lineRule="exact"/>
            </w:pPr>
            <w:r>
              <w:rPr>
                <w:rFonts w:ascii="方正黑体_GBK" w:hAnsi="方正黑体_GBK" w:eastAsia="方正黑体_GBK" w:cs="宋体"/>
                <w:b/>
                <w:sz w:val="18"/>
                <w:szCs w:val="18"/>
              </w:rPr>
              <w:t>K2份额：固定管理费年化0.1%</w:t>
            </w:r>
          </w:p>
          <w:p w14:paraId="3E13CAE8">
            <w:pPr>
              <w:spacing w:line="200" w:lineRule="exact"/>
            </w:pPr>
            <w:r>
              <w:rPr>
                <w:rFonts w:ascii="方正黑体_GBK" w:hAnsi="方正黑体_GBK" w:eastAsia="方正黑体_GBK" w:cs="宋体"/>
                <w:b/>
                <w:sz w:val="18"/>
                <w:szCs w:val="18"/>
              </w:rPr>
              <w:t>L2份额：固定管理费年化0.1%</w:t>
            </w:r>
          </w:p>
          <w:p w14:paraId="2210F2D2">
            <w:pPr>
              <w:spacing w:line="200" w:lineRule="exact"/>
            </w:pPr>
            <w:r>
              <w:rPr>
                <w:rFonts w:ascii="方正黑体_GBK" w:hAnsi="方正黑体_GBK" w:eastAsia="方正黑体_GBK" w:cs="宋体"/>
                <w:b/>
                <w:sz w:val="18"/>
                <w:szCs w:val="18"/>
              </w:rPr>
              <w:t>J3份额：固定管理费年化0.1%</w:t>
            </w:r>
          </w:p>
          <w:p w14:paraId="02BE10C7">
            <w:pPr>
              <w:spacing w:line="200" w:lineRule="exact"/>
            </w:pPr>
            <w:r>
              <w:rPr>
                <w:rFonts w:ascii="方正黑体_GBK" w:hAnsi="方正黑体_GBK" w:eastAsia="方正黑体_GBK" w:cs="宋体"/>
                <w:b/>
                <w:sz w:val="18"/>
                <w:szCs w:val="18"/>
              </w:rPr>
              <w:t>K3份额：固定管理费年化0.1%</w:t>
            </w:r>
          </w:p>
          <w:p w14:paraId="1B4AE266">
            <w:pPr>
              <w:spacing w:line="200" w:lineRule="exact"/>
            </w:pPr>
            <w:r>
              <w:rPr>
                <w:rFonts w:ascii="方正黑体_GBK" w:hAnsi="方正黑体_GBK" w:eastAsia="方正黑体_GBK" w:cs="宋体"/>
                <w:b/>
                <w:sz w:val="18"/>
                <w:szCs w:val="18"/>
              </w:rPr>
              <w:t>L3份额：固定管理费年化0.1%</w:t>
            </w:r>
          </w:p>
          <w:p w14:paraId="40E0E00C">
            <w:pPr>
              <w:spacing w:line="200" w:lineRule="exact"/>
            </w:pPr>
            <w:r>
              <w:rPr>
                <w:rFonts w:ascii="方正黑体_GBK" w:hAnsi="方正黑体_GBK" w:eastAsia="方正黑体_GBK" w:cs="宋体"/>
                <w:b/>
                <w:sz w:val="18"/>
                <w:szCs w:val="18"/>
              </w:rPr>
              <w:t>M2份额：固定管理费年化0.2%</w:t>
            </w:r>
          </w:p>
          <w:p w14:paraId="0BBE60BC">
            <w:pPr>
              <w:spacing w:line="200" w:lineRule="exact"/>
            </w:pPr>
            <w:r>
              <w:rPr>
                <w:rFonts w:ascii="方正黑体_GBK" w:hAnsi="方正黑体_GBK" w:eastAsia="方正黑体_GBK" w:cs="宋体"/>
                <w:b/>
                <w:sz w:val="18"/>
                <w:szCs w:val="18"/>
              </w:rPr>
              <w:t>M3份额：固定管理费年化0.2%</w:t>
            </w:r>
          </w:p>
          <w:p w14:paraId="3F4083F1">
            <w:pPr>
              <w:spacing w:line="200" w:lineRule="exact"/>
            </w:pPr>
            <w:r>
              <w:rPr>
                <w:rFonts w:ascii="方正黑体_GBK" w:hAnsi="方正黑体_GBK" w:eastAsia="方正黑体_GBK" w:cs="宋体"/>
                <w:b/>
                <w:sz w:val="18"/>
                <w:szCs w:val="18"/>
              </w:rPr>
              <w:t>O2份额：固定管理费年化0.1%</w:t>
            </w:r>
          </w:p>
          <w:p w14:paraId="0D38DFF3">
            <w:pPr>
              <w:spacing w:line="200" w:lineRule="exact"/>
            </w:pPr>
            <w:r>
              <w:rPr>
                <w:rFonts w:ascii="方正黑体_GBK" w:hAnsi="方正黑体_GBK" w:eastAsia="方正黑体_GBK" w:cs="宋体"/>
                <w:b/>
                <w:sz w:val="18"/>
                <w:szCs w:val="18"/>
              </w:rPr>
              <w:t>O3份额：固定管理费年化0.1%</w:t>
            </w:r>
          </w:p>
          <w:p w14:paraId="6DA9A46E">
            <w:pPr>
              <w:spacing w:line="200" w:lineRule="exact"/>
            </w:pPr>
            <w:r>
              <w:rPr>
                <w:rFonts w:ascii="方正黑体_GBK" w:hAnsi="方正黑体_GBK" w:eastAsia="方正黑体_GBK" w:cs="宋体"/>
                <w:b/>
                <w:sz w:val="18"/>
                <w:szCs w:val="18"/>
              </w:rPr>
              <w:t>Q1份额：固定管理费年化0.2%</w:t>
            </w:r>
          </w:p>
          <w:p w14:paraId="1653D0DF">
            <w:pPr>
              <w:spacing w:line="200" w:lineRule="exact"/>
            </w:pPr>
            <w:r>
              <w:rPr>
                <w:rFonts w:ascii="方正黑体_GBK" w:hAnsi="方正黑体_GBK" w:eastAsia="方正黑体_GBK" w:cs="宋体"/>
                <w:b/>
                <w:sz w:val="18"/>
                <w:szCs w:val="18"/>
              </w:rPr>
              <w:t>R1份额：固定管理费年化0.15%</w:t>
            </w:r>
          </w:p>
          <w:p w14:paraId="56E2730C">
            <w:pPr>
              <w:spacing w:line="200" w:lineRule="exact"/>
            </w:pPr>
            <w:r>
              <w:rPr>
                <w:rFonts w:ascii="方正黑体_GBK" w:hAnsi="方正黑体_GBK" w:eastAsia="方正黑体_GBK" w:cs="宋体"/>
                <w:b/>
                <w:sz w:val="18"/>
                <w:szCs w:val="18"/>
              </w:rPr>
              <w:t>Q2份额：固定管理费年化0.2%</w:t>
            </w:r>
          </w:p>
          <w:p w14:paraId="60E06E81">
            <w:pPr>
              <w:spacing w:line="200" w:lineRule="exact"/>
            </w:pPr>
            <w:r>
              <w:rPr>
                <w:rFonts w:ascii="方正黑体_GBK" w:hAnsi="方正黑体_GBK" w:eastAsia="方正黑体_GBK" w:cs="宋体"/>
                <w:b/>
                <w:sz w:val="18"/>
                <w:szCs w:val="18"/>
              </w:rPr>
              <w:t>R2份额：固定管理费年化0.15%</w:t>
            </w:r>
          </w:p>
          <w:p w14:paraId="2D0A5DC5">
            <w:pPr>
              <w:spacing w:line="200" w:lineRule="exact"/>
            </w:pPr>
            <w:r>
              <w:rPr>
                <w:rFonts w:ascii="方正黑体_GBK" w:hAnsi="方正黑体_GBK" w:eastAsia="方正黑体_GBK" w:cs="宋体"/>
                <w:b/>
                <w:sz w:val="18"/>
                <w:szCs w:val="18"/>
              </w:rPr>
              <w:t>Q3份额：固定管理费年化0.2%</w:t>
            </w:r>
          </w:p>
          <w:p w14:paraId="1B9FF443">
            <w:pPr>
              <w:spacing w:line="200" w:lineRule="exact"/>
            </w:pPr>
            <w:r>
              <w:rPr>
                <w:rFonts w:ascii="方正黑体_GBK" w:hAnsi="方正黑体_GBK" w:eastAsia="方正黑体_GBK" w:cs="宋体"/>
                <w:b/>
                <w:sz w:val="18"/>
                <w:szCs w:val="18"/>
              </w:rPr>
              <w:t>R3份额：固定管理费年化0.15%</w:t>
            </w:r>
          </w:p>
          <w:p w14:paraId="491D96C0">
            <w:pPr>
              <w:spacing w:line="200" w:lineRule="exact"/>
            </w:pPr>
            <w:r>
              <w:rPr>
                <w:rFonts w:ascii="方正黑体_GBK" w:hAnsi="方正黑体_GBK" w:eastAsia="方正黑体_GBK" w:cs="宋体"/>
                <w:b/>
                <w:sz w:val="18"/>
                <w:szCs w:val="18"/>
              </w:rPr>
              <w:t>B1份额：固定管理费年化0.2%</w:t>
            </w:r>
          </w:p>
          <w:p w14:paraId="640C421E">
            <w:pPr>
              <w:spacing w:line="200" w:lineRule="exact"/>
            </w:pPr>
            <w:r>
              <w:rPr>
                <w:rFonts w:ascii="方正黑体_GBK" w:hAnsi="方正黑体_GBK" w:eastAsia="方正黑体_GBK" w:cs="宋体"/>
                <w:b/>
                <w:sz w:val="18"/>
                <w:szCs w:val="18"/>
              </w:rPr>
              <w:t>C1份额：固定管理费年化0.2%</w:t>
            </w:r>
          </w:p>
          <w:p w14:paraId="3688CE95">
            <w:pPr>
              <w:spacing w:line="200" w:lineRule="exact"/>
            </w:pPr>
            <w:r>
              <w:rPr>
                <w:rFonts w:ascii="方正黑体_GBK" w:hAnsi="方正黑体_GBK" w:eastAsia="方正黑体_GBK" w:cs="宋体"/>
                <w:b/>
                <w:sz w:val="18"/>
                <w:szCs w:val="18"/>
              </w:rPr>
              <w:t>D1份额：固定管理费年化0.15%</w:t>
            </w:r>
          </w:p>
          <w:p w14:paraId="286AE300">
            <w:pPr>
              <w:spacing w:line="200" w:lineRule="exact"/>
            </w:pPr>
            <w:r>
              <w:rPr>
                <w:rFonts w:ascii="方正黑体_GBK" w:hAnsi="方正黑体_GBK" w:eastAsia="方正黑体_GBK" w:cs="宋体"/>
                <w:b/>
                <w:sz w:val="18"/>
                <w:szCs w:val="18"/>
              </w:rPr>
              <w:t>E1份额：固定管理费年化0.15%</w:t>
            </w:r>
          </w:p>
          <w:p w14:paraId="4022FAB3">
            <w:pPr>
              <w:spacing w:line="200" w:lineRule="exact"/>
            </w:pPr>
            <w:r>
              <w:rPr>
                <w:rFonts w:ascii="方正黑体_GBK" w:hAnsi="方正黑体_GBK" w:eastAsia="方正黑体_GBK" w:cs="宋体"/>
                <w:b/>
                <w:sz w:val="18"/>
                <w:szCs w:val="18"/>
              </w:rPr>
              <w:t>F1份额：固定管理费年化0.15%</w:t>
            </w:r>
          </w:p>
          <w:p w14:paraId="16537EBC">
            <w:pPr>
              <w:spacing w:line="200" w:lineRule="exact"/>
            </w:pPr>
            <w:r>
              <w:rPr>
                <w:rFonts w:ascii="方正黑体_GBK" w:hAnsi="方正黑体_GBK" w:eastAsia="方正黑体_GBK" w:cs="宋体"/>
                <w:b/>
                <w:sz w:val="18"/>
                <w:szCs w:val="18"/>
              </w:rPr>
              <w:t>G1份额：固定管理费年化0.15%</w:t>
            </w:r>
          </w:p>
          <w:p w14:paraId="320E7A55">
            <w:pPr>
              <w:spacing w:line="200" w:lineRule="exact"/>
            </w:pPr>
            <w:r>
              <w:rPr>
                <w:rFonts w:ascii="方正黑体_GBK" w:hAnsi="方正黑体_GBK" w:eastAsia="方正黑体_GBK" w:cs="宋体"/>
                <w:b/>
                <w:sz w:val="18"/>
                <w:szCs w:val="18"/>
              </w:rPr>
              <w:t>I1份额：固定管理费年化0.1%</w:t>
            </w:r>
          </w:p>
          <w:p w14:paraId="1A04E208">
            <w:pPr>
              <w:spacing w:line="200" w:lineRule="exact"/>
            </w:pPr>
            <w:r>
              <w:rPr>
                <w:rFonts w:ascii="方正黑体_GBK" w:hAnsi="方正黑体_GBK" w:eastAsia="方正黑体_GBK" w:cs="宋体"/>
                <w:b/>
                <w:sz w:val="18"/>
                <w:szCs w:val="18"/>
              </w:rPr>
              <w:t>J1份额：固定管理费年化0.1%</w:t>
            </w:r>
          </w:p>
          <w:p w14:paraId="59F2AE4E">
            <w:pPr>
              <w:spacing w:line="200" w:lineRule="exact"/>
            </w:pPr>
            <w:r>
              <w:rPr>
                <w:rFonts w:ascii="方正黑体_GBK" w:hAnsi="方正黑体_GBK" w:eastAsia="方正黑体_GBK" w:cs="宋体"/>
                <w:b/>
                <w:sz w:val="18"/>
                <w:szCs w:val="18"/>
              </w:rPr>
              <w:t>K1份额：固定管理费年化0.1%</w:t>
            </w:r>
          </w:p>
          <w:p w14:paraId="45357991">
            <w:pPr>
              <w:spacing w:line="200" w:lineRule="exact"/>
            </w:pPr>
            <w:r>
              <w:rPr>
                <w:rFonts w:ascii="方正黑体_GBK" w:hAnsi="方正黑体_GBK" w:eastAsia="方正黑体_GBK" w:cs="宋体"/>
                <w:b/>
                <w:sz w:val="18"/>
                <w:szCs w:val="18"/>
              </w:rPr>
              <w:t>L1份额：固定管理费年化0.1%</w:t>
            </w:r>
          </w:p>
          <w:p w14:paraId="3EE22100">
            <w:pPr>
              <w:spacing w:line="200" w:lineRule="exact"/>
            </w:pPr>
            <w:r>
              <w:rPr>
                <w:rFonts w:ascii="方正黑体_GBK" w:hAnsi="方正黑体_GBK" w:eastAsia="方正黑体_GBK" w:cs="宋体"/>
                <w:b/>
                <w:sz w:val="18"/>
                <w:szCs w:val="18"/>
              </w:rPr>
              <w:t>M1份额：固定管理费年化0.2%</w:t>
            </w:r>
          </w:p>
          <w:p w14:paraId="04B75792">
            <w:pPr>
              <w:spacing w:line="200" w:lineRule="exact"/>
            </w:pPr>
            <w:r>
              <w:rPr>
                <w:rFonts w:ascii="方正黑体_GBK" w:hAnsi="方正黑体_GBK" w:eastAsia="方正黑体_GBK" w:cs="宋体"/>
                <w:b/>
                <w:sz w:val="18"/>
                <w:szCs w:val="18"/>
              </w:rPr>
              <w:t>N1份额：固定管理费年化0.1%</w:t>
            </w:r>
          </w:p>
          <w:p w14:paraId="44217363">
            <w:pPr>
              <w:spacing w:line="200" w:lineRule="exact"/>
            </w:pPr>
            <w:r>
              <w:rPr>
                <w:rFonts w:ascii="方正黑体_GBK" w:hAnsi="方正黑体_GBK" w:eastAsia="方正黑体_GBK" w:cs="宋体"/>
                <w:b/>
                <w:sz w:val="18"/>
                <w:szCs w:val="18"/>
              </w:rPr>
              <w:t>O1份额：固定管理费年化0.1%</w:t>
            </w:r>
          </w:p>
          <w:p w14:paraId="1BEE2004">
            <w:pPr>
              <w:spacing w:line="200" w:lineRule="exact"/>
            </w:pPr>
            <w:r>
              <w:rPr>
                <w:rFonts w:ascii="方正黑体_GBK" w:hAnsi="方正黑体_GBK" w:eastAsia="方正黑体_GBK" w:cs="宋体"/>
                <w:b/>
                <w:sz w:val="18"/>
                <w:szCs w:val="18"/>
              </w:rPr>
              <w:t>S1份额：固定管理费年化0.15%</w:t>
            </w:r>
          </w:p>
          <w:p w14:paraId="77BCC057">
            <w:pPr>
              <w:spacing w:line="200" w:lineRule="exact"/>
            </w:pPr>
            <w:r>
              <w:rPr>
                <w:rFonts w:ascii="方正黑体_GBK" w:hAnsi="方正黑体_GBK" w:eastAsia="方正黑体_GBK" w:cs="宋体"/>
                <w:b/>
                <w:sz w:val="18"/>
                <w:szCs w:val="18"/>
              </w:rPr>
              <w:t>S2份额：固定管理费年化0.15%</w:t>
            </w:r>
          </w:p>
          <w:p w14:paraId="302A0533">
            <w:pPr>
              <w:spacing w:line="200" w:lineRule="exact"/>
            </w:pPr>
            <w:r>
              <w:rPr>
                <w:rFonts w:ascii="方正黑体_GBK" w:hAnsi="方正黑体_GBK" w:eastAsia="方正黑体_GBK" w:cs="宋体"/>
                <w:b/>
                <w:sz w:val="18"/>
                <w:szCs w:val="18"/>
              </w:rPr>
              <w:t>S3份额：固定管理费年化0.15%</w:t>
            </w:r>
          </w:p>
          <w:p w14:paraId="62B94D85">
            <w:pPr>
              <w:spacing w:line="200" w:lineRule="exact"/>
            </w:pPr>
            <w:r>
              <w:rPr>
                <w:rFonts w:ascii="方正黑体_GBK" w:hAnsi="方正黑体_GBK" w:eastAsia="方正黑体_GBK" w:cs="宋体"/>
                <w:b/>
                <w:sz w:val="18"/>
                <w:szCs w:val="18"/>
              </w:rPr>
              <w:t>T1份额：固定管理费年化0.15%</w:t>
            </w:r>
          </w:p>
          <w:p w14:paraId="583A4CCF">
            <w:pPr>
              <w:spacing w:line="200" w:lineRule="exact"/>
            </w:pPr>
            <w:r>
              <w:rPr>
                <w:rFonts w:ascii="方正黑体_GBK" w:hAnsi="方正黑体_GBK" w:eastAsia="方正黑体_GBK" w:cs="宋体"/>
                <w:b/>
                <w:sz w:val="18"/>
                <w:szCs w:val="18"/>
              </w:rPr>
              <w:t>T2份额：固定管理费年化0.15%</w:t>
            </w:r>
          </w:p>
          <w:p w14:paraId="0F036B28">
            <w:pPr>
              <w:spacing w:line="200" w:lineRule="exact"/>
            </w:pPr>
            <w:r>
              <w:rPr>
                <w:rFonts w:ascii="方正黑体_GBK" w:hAnsi="方正黑体_GBK" w:eastAsia="方正黑体_GBK" w:cs="宋体"/>
                <w:b/>
                <w:sz w:val="18"/>
                <w:szCs w:val="18"/>
              </w:rPr>
              <w:t>T3份额：固定管理费年化0.15%</w:t>
            </w:r>
          </w:p>
          <w:p w14:paraId="1356E2F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FF25A04">
            <w:pPr>
              <w:spacing w:line="200" w:lineRule="exact"/>
            </w:pPr>
            <w:r>
              <w:rPr>
                <w:rFonts w:ascii="方正黑体_GBK" w:hAnsi="方正黑体_GBK" w:eastAsia="方正黑体_GBK" w:cs="宋体"/>
                <w:b/>
                <w:sz w:val="18"/>
                <w:szCs w:val="18"/>
              </w:rPr>
              <w:t>托管费：</w:t>
            </w:r>
          </w:p>
          <w:p w14:paraId="3EF4DB3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D03D69E">
            <w:pPr>
              <w:spacing w:line="200" w:lineRule="exact"/>
            </w:pPr>
            <w:r>
              <w:rPr>
                <w:rFonts w:ascii="方正黑体_GBK" w:hAnsi="方正黑体_GBK" w:eastAsia="方正黑体_GBK" w:cs="宋体"/>
                <w:b/>
                <w:sz w:val="18"/>
                <w:szCs w:val="18"/>
              </w:rPr>
              <w:t>每日计提的托管费=前一日理财产品资产净值×年化托管费率÷365</w:t>
            </w:r>
          </w:p>
          <w:p w14:paraId="77619D72">
            <w:pPr>
              <w:spacing w:line="200" w:lineRule="exact"/>
            </w:pPr>
            <w:r>
              <w:rPr>
                <w:rFonts w:ascii="方正黑体_GBK" w:hAnsi="方正黑体_GBK" w:eastAsia="方正黑体_GBK" w:cs="宋体"/>
                <w:b/>
                <w:sz w:val="18"/>
                <w:szCs w:val="18"/>
              </w:rPr>
              <w:t>业绩报酬：</w:t>
            </w:r>
          </w:p>
          <w:p w14:paraId="29160BC5">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3B77CACE">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4568799">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F42E276">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B68A3AF">
            <w:pPr>
              <w:spacing w:line="200" w:lineRule="exact"/>
            </w:pPr>
            <w:r>
              <w:rPr>
                <w:rFonts w:ascii="方正黑体_GBK" w:hAnsi="方正黑体_GBK" w:eastAsia="方正黑体_GBK" w:cs="宋体"/>
                <w:b/>
                <w:sz w:val="18"/>
                <w:szCs w:val="18"/>
              </w:rPr>
              <w:t>B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5DEFF64">
            <w:pPr>
              <w:spacing w:line="200" w:lineRule="exact"/>
            </w:pPr>
            <w:r>
              <w:rPr>
                <w:rFonts w:ascii="方正黑体_GBK" w:hAnsi="方正黑体_GBK" w:eastAsia="方正黑体_GBK" w:cs="宋体"/>
                <w:b/>
                <w:sz w:val="18"/>
                <w:szCs w:val="18"/>
              </w:rPr>
              <w:t>C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2437E6A">
            <w:pPr>
              <w:spacing w:line="200" w:lineRule="exact"/>
            </w:pPr>
            <w:r>
              <w:rPr>
                <w:rFonts w:ascii="方正黑体_GBK" w:hAnsi="方正黑体_GBK" w:eastAsia="方正黑体_GBK" w:cs="宋体"/>
                <w:b/>
                <w:sz w:val="18"/>
                <w:szCs w:val="18"/>
              </w:rPr>
              <w:t>D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315C1F0D">
            <w:pPr>
              <w:spacing w:line="200" w:lineRule="exact"/>
            </w:pPr>
            <w:r>
              <w:rPr>
                <w:rFonts w:ascii="方正黑体_GBK" w:hAnsi="方正黑体_GBK" w:eastAsia="方正黑体_GBK" w:cs="宋体"/>
                <w:b/>
                <w:sz w:val="18"/>
                <w:szCs w:val="18"/>
              </w:rPr>
              <w:t>E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317D6D3">
            <w:pPr>
              <w:spacing w:line="200" w:lineRule="exact"/>
            </w:pPr>
            <w:r>
              <w:rPr>
                <w:rFonts w:ascii="方正黑体_GBK" w:hAnsi="方正黑体_GBK" w:eastAsia="方正黑体_GBK" w:cs="宋体"/>
                <w:b/>
                <w:sz w:val="18"/>
                <w:szCs w:val="18"/>
              </w:rPr>
              <w:t>B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907FCFC">
            <w:pPr>
              <w:spacing w:line="200" w:lineRule="exact"/>
            </w:pPr>
            <w:r>
              <w:rPr>
                <w:rFonts w:ascii="方正黑体_GBK" w:hAnsi="方正黑体_GBK" w:eastAsia="方正黑体_GBK" w:cs="宋体"/>
                <w:b/>
                <w:sz w:val="18"/>
                <w:szCs w:val="18"/>
              </w:rPr>
              <w:t>C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67B0132">
            <w:pPr>
              <w:spacing w:line="200" w:lineRule="exact"/>
            </w:pPr>
            <w:r>
              <w:rPr>
                <w:rFonts w:ascii="方正黑体_GBK" w:hAnsi="方正黑体_GBK" w:eastAsia="方正黑体_GBK" w:cs="宋体"/>
                <w:b/>
                <w:sz w:val="18"/>
                <w:szCs w:val="18"/>
              </w:rPr>
              <w:t>D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4D08E12">
            <w:pPr>
              <w:spacing w:line="200" w:lineRule="exact"/>
            </w:pPr>
            <w:r>
              <w:rPr>
                <w:rFonts w:ascii="方正黑体_GBK" w:hAnsi="方正黑体_GBK" w:eastAsia="方正黑体_GBK" w:cs="宋体"/>
                <w:b/>
                <w:sz w:val="18"/>
                <w:szCs w:val="18"/>
              </w:rPr>
              <w:t>E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AACA6D3">
            <w:pPr>
              <w:spacing w:line="200" w:lineRule="exact"/>
            </w:pPr>
            <w:r>
              <w:rPr>
                <w:rFonts w:ascii="方正黑体_GBK" w:hAnsi="方正黑体_GBK" w:eastAsia="方正黑体_GBK" w:cs="宋体"/>
                <w:b/>
                <w:sz w:val="18"/>
                <w:szCs w:val="18"/>
              </w:rPr>
              <w:t>F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C6927C5">
            <w:pPr>
              <w:spacing w:line="200" w:lineRule="exact"/>
            </w:pPr>
            <w:r>
              <w:rPr>
                <w:rFonts w:ascii="方正黑体_GBK" w:hAnsi="方正黑体_GBK" w:eastAsia="方正黑体_GBK" w:cs="宋体"/>
                <w:b/>
                <w:sz w:val="18"/>
                <w:szCs w:val="18"/>
              </w:rPr>
              <w:t>F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FF37CCE">
            <w:pPr>
              <w:spacing w:line="200" w:lineRule="exact"/>
            </w:pPr>
            <w:r>
              <w:rPr>
                <w:rFonts w:ascii="方正黑体_GBK" w:hAnsi="方正黑体_GBK" w:eastAsia="方正黑体_GBK" w:cs="宋体"/>
                <w:b/>
                <w:sz w:val="18"/>
                <w:szCs w:val="18"/>
              </w:rPr>
              <w:t>G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6F0B78D">
            <w:pPr>
              <w:spacing w:line="200" w:lineRule="exact"/>
            </w:pPr>
            <w:r>
              <w:rPr>
                <w:rFonts w:ascii="方正黑体_GBK" w:hAnsi="方正黑体_GBK" w:eastAsia="方正黑体_GBK" w:cs="宋体"/>
                <w:b/>
                <w:sz w:val="18"/>
                <w:szCs w:val="18"/>
              </w:rPr>
              <w:t>G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4A26406">
            <w:pPr>
              <w:spacing w:line="200" w:lineRule="exact"/>
            </w:pPr>
            <w:r>
              <w:rPr>
                <w:rFonts w:ascii="方正黑体_GBK" w:hAnsi="方正黑体_GBK" w:eastAsia="方正黑体_GBK" w:cs="宋体"/>
                <w:b/>
                <w:sz w:val="18"/>
                <w:szCs w:val="18"/>
              </w:rPr>
              <w:t>J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3CCA09F">
            <w:pPr>
              <w:spacing w:line="200" w:lineRule="exact"/>
            </w:pPr>
            <w:r>
              <w:rPr>
                <w:rFonts w:ascii="方正黑体_GBK" w:hAnsi="方正黑体_GBK" w:eastAsia="方正黑体_GBK" w:cs="宋体"/>
                <w:b/>
                <w:sz w:val="18"/>
                <w:szCs w:val="18"/>
              </w:rPr>
              <w:t>K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1A26BE19">
            <w:pPr>
              <w:spacing w:line="200" w:lineRule="exact"/>
            </w:pPr>
            <w:r>
              <w:rPr>
                <w:rFonts w:ascii="方正黑体_GBK" w:hAnsi="方正黑体_GBK" w:eastAsia="方正黑体_GBK" w:cs="宋体"/>
                <w:b/>
                <w:sz w:val="18"/>
                <w:szCs w:val="18"/>
              </w:rPr>
              <w:t>L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18AF26A7">
            <w:pPr>
              <w:spacing w:line="200" w:lineRule="exact"/>
            </w:pPr>
            <w:r>
              <w:rPr>
                <w:rFonts w:ascii="方正黑体_GBK" w:hAnsi="方正黑体_GBK" w:eastAsia="方正黑体_GBK" w:cs="宋体"/>
                <w:b/>
                <w:sz w:val="18"/>
                <w:szCs w:val="18"/>
              </w:rPr>
              <w:t>J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4923873">
            <w:pPr>
              <w:spacing w:line="200" w:lineRule="exact"/>
            </w:pPr>
            <w:r>
              <w:rPr>
                <w:rFonts w:ascii="方正黑体_GBK" w:hAnsi="方正黑体_GBK" w:eastAsia="方正黑体_GBK" w:cs="宋体"/>
                <w:b/>
                <w:sz w:val="18"/>
                <w:szCs w:val="18"/>
              </w:rPr>
              <w:t>K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507A42D">
            <w:pPr>
              <w:spacing w:line="200" w:lineRule="exact"/>
            </w:pPr>
            <w:r>
              <w:rPr>
                <w:rFonts w:ascii="方正黑体_GBK" w:hAnsi="方正黑体_GBK" w:eastAsia="方正黑体_GBK" w:cs="宋体"/>
                <w:b/>
                <w:sz w:val="18"/>
                <w:szCs w:val="18"/>
              </w:rPr>
              <w:t>L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5ECCBFE">
            <w:pPr>
              <w:spacing w:line="200" w:lineRule="exact"/>
            </w:pPr>
            <w:r>
              <w:rPr>
                <w:rFonts w:ascii="方正黑体_GBK" w:hAnsi="方正黑体_GBK" w:eastAsia="方正黑体_GBK" w:cs="宋体"/>
                <w:b/>
                <w:sz w:val="18"/>
                <w:szCs w:val="18"/>
              </w:rPr>
              <w:t>M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0796525E">
            <w:pPr>
              <w:spacing w:line="200" w:lineRule="exact"/>
            </w:pPr>
            <w:r>
              <w:rPr>
                <w:rFonts w:ascii="方正黑体_GBK" w:hAnsi="方正黑体_GBK" w:eastAsia="方正黑体_GBK" w:cs="宋体"/>
                <w:b/>
                <w:sz w:val="18"/>
                <w:szCs w:val="18"/>
              </w:rPr>
              <w:t>M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40D9702E">
            <w:pPr>
              <w:spacing w:line="200" w:lineRule="exact"/>
            </w:pPr>
            <w:r>
              <w:rPr>
                <w:rFonts w:ascii="方正黑体_GBK" w:hAnsi="方正黑体_GBK" w:eastAsia="方正黑体_GBK" w:cs="宋体"/>
                <w:b/>
                <w:sz w:val="18"/>
                <w:szCs w:val="18"/>
              </w:rPr>
              <w:t>O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975BA74">
            <w:pPr>
              <w:spacing w:line="200" w:lineRule="exact"/>
            </w:pPr>
            <w:r>
              <w:rPr>
                <w:rFonts w:ascii="方正黑体_GBK" w:hAnsi="方正黑体_GBK" w:eastAsia="方正黑体_GBK" w:cs="宋体"/>
                <w:b/>
                <w:sz w:val="18"/>
                <w:szCs w:val="18"/>
              </w:rPr>
              <w:t>O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4A15265">
            <w:pPr>
              <w:spacing w:line="200" w:lineRule="exact"/>
            </w:pPr>
            <w:r>
              <w:rPr>
                <w:rFonts w:ascii="方正黑体_GBK" w:hAnsi="方正黑体_GBK" w:eastAsia="方正黑体_GBK" w:cs="宋体"/>
                <w:b/>
                <w:sz w:val="18"/>
                <w:szCs w:val="18"/>
              </w:rPr>
              <w:t>Q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B531E8C">
            <w:pPr>
              <w:spacing w:line="200" w:lineRule="exact"/>
            </w:pPr>
            <w:r>
              <w:rPr>
                <w:rFonts w:ascii="方正黑体_GBK" w:hAnsi="方正黑体_GBK" w:eastAsia="方正黑体_GBK" w:cs="宋体"/>
                <w:b/>
                <w:sz w:val="18"/>
                <w:szCs w:val="18"/>
              </w:rPr>
              <w:t>R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2A5381E">
            <w:pPr>
              <w:spacing w:line="200" w:lineRule="exact"/>
            </w:pPr>
            <w:r>
              <w:rPr>
                <w:rFonts w:ascii="方正黑体_GBK" w:hAnsi="方正黑体_GBK" w:eastAsia="方正黑体_GBK" w:cs="宋体"/>
                <w:b/>
                <w:sz w:val="18"/>
                <w:szCs w:val="18"/>
              </w:rPr>
              <w:t>Q2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7A654225">
            <w:pPr>
              <w:spacing w:line="200" w:lineRule="exact"/>
            </w:pPr>
            <w:r>
              <w:rPr>
                <w:rFonts w:ascii="方正黑体_GBK" w:hAnsi="方正黑体_GBK" w:eastAsia="方正黑体_GBK" w:cs="宋体"/>
                <w:b/>
                <w:sz w:val="18"/>
                <w:szCs w:val="18"/>
              </w:rPr>
              <w:t>R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915AD8E">
            <w:pPr>
              <w:spacing w:line="200" w:lineRule="exact"/>
            </w:pPr>
            <w:r>
              <w:rPr>
                <w:rFonts w:ascii="方正黑体_GBK" w:hAnsi="方正黑体_GBK" w:eastAsia="方正黑体_GBK" w:cs="宋体"/>
                <w:b/>
                <w:sz w:val="18"/>
                <w:szCs w:val="18"/>
              </w:rPr>
              <w:t>Q3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3467287A">
            <w:pPr>
              <w:spacing w:line="200" w:lineRule="exact"/>
            </w:pPr>
            <w:r>
              <w:rPr>
                <w:rFonts w:ascii="方正黑体_GBK" w:hAnsi="方正黑体_GBK" w:eastAsia="方正黑体_GBK" w:cs="宋体"/>
                <w:b/>
                <w:sz w:val="18"/>
                <w:szCs w:val="18"/>
              </w:rPr>
              <w:t>R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C8CEE06">
            <w:pPr>
              <w:spacing w:line="200" w:lineRule="exact"/>
            </w:pPr>
            <w:r>
              <w:rPr>
                <w:rFonts w:ascii="方正黑体_GBK" w:hAnsi="方正黑体_GBK" w:eastAsia="方正黑体_GBK" w:cs="宋体"/>
                <w:b/>
                <w:sz w:val="18"/>
                <w:szCs w:val="18"/>
              </w:rPr>
              <w:t>B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3AB88B44">
            <w:pPr>
              <w:spacing w:line="200" w:lineRule="exact"/>
            </w:pPr>
            <w:r>
              <w:rPr>
                <w:rFonts w:ascii="方正黑体_GBK" w:hAnsi="方正黑体_GBK" w:eastAsia="方正黑体_GBK" w:cs="宋体"/>
                <w:b/>
                <w:sz w:val="18"/>
                <w:szCs w:val="18"/>
              </w:rPr>
              <w:t>C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AF1123E">
            <w:pPr>
              <w:spacing w:line="200" w:lineRule="exact"/>
            </w:pPr>
            <w:r>
              <w:rPr>
                <w:rFonts w:ascii="方正黑体_GBK" w:hAnsi="方正黑体_GBK" w:eastAsia="方正黑体_GBK" w:cs="宋体"/>
                <w:b/>
                <w:sz w:val="18"/>
                <w:szCs w:val="18"/>
              </w:rPr>
              <w:t>D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9BCC922">
            <w:pPr>
              <w:spacing w:line="200" w:lineRule="exact"/>
            </w:pPr>
            <w:r>
              <w:rPr>
                <w:rFonts w:ascii="方正黑体_GBK" w:hAnsi="方正黑体_GBK" w:eastAsia="方正黑体_GBK" w:cs="宋体"/>
                <w:b/>
                <w:sz w:val="18"/>
                <w:szCs w:val="18"/>
              </w:rPr>
              <w:t>E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0268241C">
            <w:pPr>
              <w:spacing w:line="200" w:lineRule="exact"/>
            </w:pPr>
            <w:r>
              <w:rPr>
                <w:rFonts w:ascii="方正黑体_GBK" w:hAnsi="方正黑体_GBK" w:eastAsia="方正黑体_GBK" w:cs="宋体"/>
                <w:b/>
                <w:sz w:val="18"/>
                <w:szCs w:val="18"/>
              </w:rPr>
              <w:t>F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CC665C7">
            <w:pPr>
              <w:spacing w:line="200" w:lineRule="exact"/>
            </w:pPr>
            <w:r>
              <w:rPr>
                <w:rFonts w:ascii="方正黑体_GBK" w:hAnsi="方正黑体_GBK" w:eastAsia="方正黑体_GBK" w:cs="宋体"/>
                <w:b/>
                <w:sz w:val="18"/>
                <w:szCs w:val="18"/>
              </w:rPr>
              <w:t>G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8520E0A">
            <w:pPr>
              <w:spacing w:line="200" w:lineRule="exact"/>
            </w:pPr>
            <w:r>
              <w:rPr>
                <w:rFonts w:ascii="方正黑体_GBK" w:hAnsi="方正黑体_GBK" w:eastAsia="方正黑体_GBK" w:cs="宋体"/>
                <w:b/>
                <w:sz w:val="18"/>
                <w:szCs w:val="18"/>
              </w:rPr>
              <w:t>I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BD3F9B3">
            <w:pPr>
              <w:spacing w:line="200" w:lineRule="exact"/>
            </w:pPr>
            <w:r>
              <w:rPr>
                <w:rFonts w:ascii="方正黑体_GBK" w:hAnsi="方正黑体_GBK" w:eastAsia="方正黑体_GBK" w:cs="宋体"/>
                <w:b/>
                <w:sz w:val="18"/>
                <w:szCs w:val="18"/>
              </w:rPr>
              <w:t>J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61C8238">
            <w:pPr>
              <w:spacing w:line="200" w:lineRule="exact"/>
            </w:pPr>
            <w:r>
              <w:rPr>
                <w:rFonts w:ascii="方正黑体_GBK" w:hAnsi="方正黑体_GBK" w:eastAsia="方正黑体_GBK" w:cs="宋体"/>
                <w:b/>
                <w:sz w:val="18"/>
                <w:szCs w:val="18"/>
              </w:rPr>
              <w:t>K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58D4BB64">
            <w:pPr>
              <w:spacing w:line="200" w:lineRule="exact"/>
            </w:pPr>
            <w:r>
              <w:rPr>
                <w:rFonts w:ascii="方正黑体_GBK" w:hAnsi="方正黑体_GBK" w:eastAsia="方正黑体_GBK" w:cs="宋体"/>
                <w:b/>
                <w:sz w:val="18"/>
                <w:szCs w:val="18"/>
              </w:rPr>
              <w:t>L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3A4A5218">
            <w:pPr>
              <w:spacing w:line="200" w:lineRule="exact"/>
            </w:pPr>
            <w:r>
              <w:rPr>
                <w:rFonts w:ascii="方正黑体_GBK" w:hAnsi="方正黑体_GBK" w:eastAsia="方正黑体_GBK" w:cs="宋体"/>
                <w:b/>
                <w:sz w:val="18"/>
                <w:szCs w:val="18"/>
              </w:rPr>
              <w:t>M1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14:paraId="613C9687">
            <w:pPr>
              <w:spacing w:line="200" w:lineRule="exact"/>
            </w:pPr>
            <w:r>
              <w:rPr>
                <w:rFonts w:ascii="方正黑体_GBK" w:hAnsi="方正黑体_GBK" w:eastAsia="方正黑体_GBK" w:cs="宋体"/>
                <w:b/>
                <w:sz w:val="18"/>
                <w:szCs w:val="18"/>
              </w:rPr>
              <w:t>N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0983FCD">
            <w:pPr>
              <w:spacing w:line="200" w:lineRule="exact"/>
            </w:pPr>
            <w:r>
              <w:rPr>
                <w:rFonts w:ascii="方正黑体_GBK" w:hAnsi="方正黑体_GBK" w:eastAsia="方正黑体_GBK" w:cs="宋体"/>
                <w:b/>
                <w:sz w:val="18"/>
                <w:szCs w:val="18"/>
              </w:rPr>
              <w:t>O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63310DE4">
            <w:pPr>
              <w:spacing w:line="200" w:lineRule="exact"/>
            </w:pPr>
            <w:r>
              <w:rPr>
                <w:rFonts w:ascii="方正黑体_GBK" w:hAnsi="方正黑体_GBK" w:eastAsia="方正黑体_GBK" w:cs="宋体"/>
                <w:b/>
                <w:sz w:val="18"/>
                <w:szCs w:val="18"/>
              </w:rPr>
              <w:t>S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20CBDDD">
            <w:pPr>
              <w:spacing w:line="200" w:lineRule="exact"/>
            </w:pPr>
            <w:r>
              <w:rPr>
                <w:rFonts w:ascii="方正黑体_GBK" w:hAnsi="方正黑体_GBK" w:eastAsia="方正黑体_GBK" w:cs="宋体"/>
                <w:b/>
                <w:sz w:val="18"/>
                <w:szCs w:val="18"/>
              </w:rPr>
              <w:t>S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432C870">
            <w:pPr>
              <w:spacing w:line="200" w:lineRule="exact"/>
            </w:pPr>
            <w:r>
              <w:rPr>
                <w:rFonts w:ascii="方正黑体_GBK" w:hAnsi="方正黑体_GBK" w:eastAsia="方正黑体_GBK" w:cs="宋体"/>
                <w:b/>
                <w:sz w:val="18"/>
                <w:szCs w:val="18"/>
              </w:rPr>
              <w:t>S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D049FD4">
            <w:pPr>
              <w:spacing w:line="200" w:lineRule="exact"/>
            </w:pPr>
            <w:r>
              <w:rPr>
                <w:rFonts w:ascii="方正黑体_GBK" w:hAnsi="方正黑体_GBK" w:eastAsia="方正黑体_GBK" w:cs="宋体"/>
                <w:b/>
                <w:sz w:val="18"/>
                <w:szCs w:val="18"/>
              </w:rPr>
              <w:t>T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B281854">
            <w:pPr>
              <w:spacing w:line="200" w:lineRule="exact"/>
            </w:pPr>
            <w:r>
              <w:rPr>
                <w:rFonts w:ascii="方正黑体_GBK" w:hAnsi="方正黑体_GBK" w:eastAsia="方正黑体_GBK" w:cs="宋体"/>
                <w:b/>
                <w:sz w:val="18"/>
                <w:szCs w:val="18"/>
              </w:rPr>
              <w:t>T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6E7380BC">
            <w:pPr>
              <w:spacing w:line="200" w:lineRule="exact"/>
            </w:pPr>
            <w:r>
              <w:rPr>
                <w:rFonts w:ascii="方正黑体_GBK" w:hAnsi="方正黑体_GBK" w:eastAsia="方正黑体_GBK" w:cs="宋体"/>
                <w:b/>
                <w:sz w:val="18"/>
                <w:szCs w:val="18"/>
              </w:rPr>
              <w:t>T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775EFBF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5798E3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31BEAC7">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C63498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23F4F3">
            <w:pPr>
              <w:spacing w:line="200" w:lineRule="exact"/>
            </w:pPr>
            <w:r>
              <w:rPr>
                <w:rFonts w:ascii="方正黑体_GBK" w:hAnsi="方正黑体_GBK" w:eastAsia="方正黑体_GBK" w:cs="宋体"/>
                <w:b/>
                <w:sz w:val="18"/>
                <w:szCs w:val="18"/>
              </w:rPr>
              <w:t>计算本区间业绩报酬的公式如下：</w:t>
            </w:r>
          </w:p>
          <w:p w14:paraId="14100242">
            <w:pPr>
              <w:spacing w:line="200" w:lineRule="exact"/>
            </w:pPr>
            <w:r>
              <w:rPr>
                <w:rFonts w:ascii="方正黑体_GBK" w:hAnsi="方正黑体_GBK" w:eastAsia="方正黑体_GBK" w:cs="宋体"/>
                <w:b/>
                <w:sz w:val="18"/>
                <w:szCs w:val="18"/>
              </w:rPr>
              <w:t>A={B-C*D*(1+E*F/365)}*G。</w:t>
            </w:r>
          </w:p>
          <w:p w14:paraId="6400509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80FE2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BBB8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AA220EC">
            <w:pPr>
              <w:spacing w:line="200" w:lineRule="exact"/>
              <w:jc w:val="left"/>
            </w:pPr>
            <w:r>
              <w:rPr>
                <w:rFonts w:ascii="方正黑体_GBK" w:hAnsi="方正黑体_GBK" w:eastAsia="方正黑体_GBK" w:cs="宋体"/>
                <w:color w:val="000000"/>
                <w:sz w:val="18"/>
                <w:szCs w:val="18"/>
              </w:rPr>
              <w:t>具体参见本理财产品风险揭示书。</w:t>
            </w:r>
          </w:p>
          <w:p w14:paraId="08BC543C">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3453482">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29E1D20C">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0672A3A9">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 以上情形均可能使产品净值受到不利影响。</w:t>
            </w:r>
          </w:p>
        </w:tc>
      </w:tr>
      <w:tr w14:paraId="5041AB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E9B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79A0C4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3C69107">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6DD5855">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ECD729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C83DA6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197B68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2319FB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858854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3EA30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39A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8F326D4">
            <w:pPr>
              <w:spacing w:line="200" w:lineRule="exact"/>
              <w:jc w:val="left"/>
            </w:pPr>
            <w:r>
              <w:rPr>
                <w:rFonts w:ascii="方正黑体_GBK" w:hAnsi="方正黑体_GBK" w:eastAsia="方正黑体_GBK" w:cs="宋体"/>
                <w:sz w:val="18"/>
                <w:szCs w:val="18"/>
              </w:rPr>
              <w:t>本理财产品销售机构为南银理财有限责任公司、南京银行股份有限公司、齐鲁银行股份有限公司、贵阳银行股份有限公司、深圳前海微众银行股份有限公司、九江银行股份有限公司、互金平台、日照银行股份有限公司、无锡农村商业银行股份有限公司、无锡锡商银行股份有限公司、江苏南通农村商业银行股份有限公司、江苏如皋农村商业银行股份有限公司、江苏句容农村商业银行股份有限公司、河北银行股份有限公司。管理人有权调整本理财产品的销售机构并进行信息披露。</w:t>
            </w:r>
          </w:p>
          <w:p w14:paraId="7A4F686E">
            <w:pPr>
              <w:spacing w:line="200" w:lineRule="exact"/>
              <w:jc w:val="left"/>
            </w:pPr>
            <w:r>
              <w:rPr>
                <w:rFonts w:ascii="方正黑体_GBK" w:hAnsi="方正黑体_GBK" w:eastAsia="方正黑体_GBK" w:cs="宋体"/>
                <w:sz w:val="18"/>
                <w:szCs w:val="18"/>
              </w:rPr>
              <w:t>销售机构主要职责如下：</w:t>
            </w:r>
          </w:p>
          <w:p w14:paraId="31BAC73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9337FA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A508DB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A713549">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A5B8F3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3CD6D2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A7EA3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B437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71BAB5F">
            <w:pPr>
              <w:spacing w:line="200" w:lineRule="exact"/>
            </w:pPr>
            <w:r>
              <w:rPr>
                <w:rFonts w:ascii="方正黑体_GBK" w:hAnsi="方正黑体_GBK" w:eastAsia="方正黑体_GBK" w:cs="宋体"/>
                <w:sz w:val="18"/>
                <w:szCs w:val="18"/>
              </w:rPr>
              <w:t>本理财产品托管人为南京银行股份有限公司，主要职责如下：</w:t>
            </w:r>
          </w:p>
          <w:p w14:paraId="75E636AD">
            <w:pPr>
              <w:spacing w:line="200" w:lineRule="exact"/>
            </w:pPr>
            <w:r>
              <w:rPr>
                <w:rFonts w:ascii="方正黑体_GBK" w:hAnsi="方正黑体_GBK" w:eastAsia="方正黑体_GBK" w:cs="宋体"/>
                <w:sz w:val="18"/>
                <w:szCs w:val="18"/>
              </w:rPr>
              <w:t>1.安全保管理财产品财产；</w:t>
            </w:r>
          </w:p>
          <w:p w14:paraId="75AA0FD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8242B89">
            <w:pPr>
              <w:spacing w:line="200" w:lineRule="exact"/>
            </w:pPr>
            <w:r>
              <w:rPr>
                <w:rFonts w:ascii="方正黑体_GBK" w:hAnsi="方正黑体_GBK" w:eastAsia="方正黑体_GBK" w:cs="宋体"/>
                <w:sz w:val="18"/>
                <w:szCs w:val="18"/>
              </w:rPr>
              <w:t>3.按照托管协议约定和管理人的投资指令，及时办理清算、交割事宜；</w:t>
            </w:r>
          </w:p>
          <w:p w14:paraId="27BE13B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39AB92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F46D23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3594485">
            <w:pPr>
              <w:spacing w:line="200" w:lineRule="exact"/>
            </w:pPr>
            <w:r>
              <w:rPr>
                <w:rFonts w:ascii="方正黑体_GBK" w:hAnsi="方正黑体_GBK" w:eastAsia="方正黑体_GBK" w:cs="宋体"/>
                <w:sz w:val="18"/>
                <w:szCs w:val="18"/>
              </w:rPr>
              <w:t>7.理财托管业务活动的记录、账册、报表和其他相关资料保存20年以上；</w:t>
            </w:r>
          </w:p>
          <w:p w14:paraId="51680EA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71A08B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E460C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27E4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9032C60">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华能贵诚信托有限公司、华鑫国际信托有限公司、建信保险资产管理有限公司、交银国际信托有限公司，上述投资合作机构主要职责对应如下，具体职责以管理人与投资合作机构签署的合同为准。</w:t>
            </w:r>
          </w:p>
          <w:p w14:paraId="254E7F2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华能贵诚信托有限公司、华鑫国际信托有限公司、建信保险资产管理有限公司、交银国际信托有限公司。</w:t>
            </w:r>
          </w:p>
          <w:p w14:paraId="121F152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BAEAD5F">
            <w:pPr>
              <w:spacing w:line="200" w:lineRule="exact"/>
            </w:pPr>
            <w:r>
              <w:rPr>
                <w:rFonts w:ascii="方正黑体_GBK" w:hAnsi="方正黑体_GBK" w:eastAsia="方正黑体_GBK" w:cs="宋体"/>
                <w:sz w:val="18"/>
                <w:szCs w:val="18"/>
              </w:rPr>
              <w:t>上述投资合作机构简介：</w:t>
            </w:r>
          </w:p>
          <w:p w14:paraId="4815F334">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BD8401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D879EA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E9E761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618312F">
            <w:pPr>
              <w:spacing w:line="200" w:lineRule="exact"/>
            </w:pPr>
            <w:r>
              <w:rPr>
                <w:rFonts w:ascii="方正黑体_GBK" w:hAnsi="方正黑体_GBK" w:eastAsia="方正黑体_GBK" w:cs="宋体"/>
                <w:sz w:val="18"/>
                <w:szCs w:val="18"/>
              </w:rPr>
              <w:t>华鑫国际信托有限公司成立于1984年06月01日，注册资本金73.95亿元。</w:t>
            </w:r>
          </w:p>
          <w:p w14:paraId="7A491B09">
            <w:pPr>
              <w:spacing w:line="200" w:lineRule="exact"/>
            </w:pPr>
            <w:r>
              <w:rPr>
                <w:rFonts w:ascii="方正黑体_GBK" w:hAnsi="方正黑体_GBK" w:eastAsia="方正黑体_GBK" w:cs="宋体"/>
                <w:sz w:val="18"/>
                <w:szCs w:val="18"/>
              </w:rPr>
              <w:t>建信保险资产管理有限公司成立于2016年04月27日，注册资本金3亿元。</w:t>
            </w:r>
          </w:p>
          <w:p w14:paraId="14789118">
            <w:pPr>
              <w:spacing w:line="200" w:lineRule="exact"/>
            </w:pPr>
            <w:r>
              <w:rPr>
                <w:rFonts w:ascii="方正黑体_GBK" w:hAnsi="方正黑体_GBK" w:eastAsia="方正黑体_GBK" w:cs="宋体"/>
                <w:sz w:val="18"/>
                <w:szCs w:val="18"/>
              </w:rPr>
              <w:t>交银国际信托有限公司成立于1983年11月23日，注册资本金57.65亿元。</w:t>
            </w:r>
          </w:p>
        </w:tc>
      </w:tr>
      <w:tr w14:paraId="67CB6D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CFF1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A65BDE6">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386867D">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787227E4">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6A57A301">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764AB5B7">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6A9EAF26">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102F1A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1CF2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C063D45">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795F1A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F14E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7124117A">
            <w:pPr>
              <w:spacing w:line="200" w:lineRule="exact"/>
            </w:pPr>
            <w:r>
              <w:rPr>
                <w:rFonts w:ascii="方正黑体_GBK" w:hAnsi="方正黑体_GBK" w:eastAsia="方正黑体_GBK" w:cs="宋体"/>
                <w:sz w:val="18"/>
                <w:szCs w:val="18"/>
              </w:rPr>
              <w:t>发生下列情形时，管理人可暂停接受投资者认申购申请：</w:t>
            </w:r>
          </w:p>
          <w:p w14:paraId="0C03DFA0">
            <w:pPr>
              <w:spacing w:line="200" w:lineRule="exact"/>
            </w:pPr>
            <w:r>
              <w:rPr>
                <w:rFonts w:ascii="方正黑体_GBK" w:hAnsi="方正黑体_GBK" w:eastAsia="方正黑体_GBK" w:cs="宋体"/>
                <w:sz w:val="18"/>
                <w:szCs w:val="18"/>
              </w:rPr>
              <w:t>1.因不可抗力导致理财产品无法正常运作；</w:t>
            </w:r>
          </w:p>
          <w:p w14:paraId="57C6A916">
            <w:pPr>
              <w:spacing w:line="200" w:lineRule="exact"/>
            </w:pPr>
            <w:r>
              <w:rPr>
                <w:rFonts w:ascii="方正黑体_GBK" w:hAnsi="方正黑体_GBK" w:eastAsia="方正黑体_GBK" w:cs="宋体"/>
                <w:sz w:val="18"/>
                <w:szCs w:val="18"/>
              </w:rPr>
              <w:t>2.因监管政策、市场发生重大变化，导致理财产品无法正常运作；</w:t>
            </w:r>
          </w:p>
          <w:p w14:paraId="046C0B76">
            <w:pPr>
              <w:spacing w:line="200" w:lineRule="exact"/>
            </w:pPr>
            <w:r>
              <w:rPr>
                <w:rFonts w:ascii="方正黑体_GBK" w:hAnsi="方正黑体_GBK" w:eastAsia="方正黑体_GBK" w:cs="宋体"/>
                <w:sz w:val="18"/>
                <w:szCs w:val="18"/>
              </w:rPr>
              <w:t>3.管理人认为需要暂停认申购的其他情形。</w:t>
            </w:r>
          </w:p>
          <w:p w14:paraId="537C6BFF">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163915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4C0C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7A9F3632">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7E67E1CF">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3CA15A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A96F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279CF8F">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EC3C915">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75AD0E1B">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71AF112E">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DBFD7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0A2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096A63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BFC9F0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588465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9EE6D1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726A73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E1305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3854D53">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A09EB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52841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527CC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77297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7F2C67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2AE69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D4932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C5739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C8BC9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86AB7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F3326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7DFC4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F2C87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4E2DC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77606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FDA26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16FF6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6AE5E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08F20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5A4BA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9A752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6B512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5C8F7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7B225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8B58A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BB50AE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3ED514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南银理财珠联璧合安稳1910一年定开公募人民币理财产品</w:t>
      </w:r>
      <w:r>
        <w:rPr>
          <w:rFonts w:hint="eastAsia" w:ascii="方正黑体_GBK" w:hAnsi="方正黑体_GBK" w:eastAsia="方正黑体_GBK"/>
          <w:vanish w:val="0"/>
          <w:color w:val="3D3D3D"/>
          <w:kern w:val="0"/>
          <w:sz w:val="15"/>
          <w:szCs w:val="15"/>
        </w:rPr>
        <w:t>。</w:t>
      </w:r>
    </w:p>
    <w:p w14:paraId="17C52E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5F2B7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FD0BC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C35B0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E19992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4AF44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D5A46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ABF8C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291A2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6DA19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0A7D2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1CE0A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8286E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8FDE9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4831E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85EE6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984B0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E71795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77456C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9C0DC2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F78CBC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387711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39CED6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ABD665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41121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D9C979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8F8C47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3447F7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B0B3A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8722A6A">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1AE5EBF3">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749B4C05">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523C27E8">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24FD56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1D1B377">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34DFF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678ACEB">
      <w:pPr>
        <w:spacing w:line="200" w:lineRule="exact"/>
        <w:ind w:firstLine="300"/>
        <w:jc w:val="both"/>
      </w:pPr>
      <w:r>
        <w:rPr>
          <w:rFonts w:ascii="方正黑体_GBK" w:hAnsi="方正黑体_GBK" w:eastAsia="方正黑体_GBK" w:cs="宋体"/>
          <w:sz w:val="15"/>
          <w:szCs w:val="20"/>
        </w:rPr>
        <w:t>（一）估值日</w:t>
      </w:r>
    </w:p>
    <w:p w14:paraId="5C9907E0">
      <w:pPr>
        <w:spacing w:line="200" w:lineRule="exact"/>
        <w:ind w:firstLine="300"/>
        <w:jc w:val="both"/>
      </w:pPr>
      <w:r>
        <w:rPr>
          <w:rFonts w:ascii="方正黑体_GBK" w:hAnsi="方正黑体_GBK" w:eastAsia="方正黑体_GBK" w:cs="宋体"/>
          <w:sz w:val="15"/>
          <w:szCs w:val="20"/>
        </w:rPr>
        <w:t>本理财产品每个工作日进行估值。</w:t>
      </w:r>
    </w:p>
    <w:p w14:paraId="1510EF2D">
      <w:pPr>
        <w:spacing w:line="200" w:lineRule="exact"/>
        <w:ind w:firstLine="300"/>
        <w:jc w:val="both"/>
      </w:pPr>
      <w:r>
        <w:rPr>
          <w:rFonts w:ascii="方正黑体_GBK" w:hAnsi="方正黑体_GBK" w:eastAsia="方正黑体_GBK" w:cs="宋体"/>
          <w:sz w:val="15"/>
          <w:szCs w:val="20"/>
        </w:rPr>
        <w:t>（二）估值对象</w:t>
      </w:r>
    </w:p>
    <w:p w14:paraId="353A1B24">
      <w:pPr>
        <w:spacing w:line="200" w:lineRule="exact"/>
        <w:ind w:firstLine="300"/>
        <w:jc w:val="both"/>
      </w:pPr>
      <w:r>
        <w:rPr>
          <w:rFonts w:ascii="方正黑体_GBK" w:hAnsi="方正黑体_GBK" w:eastAsia="方正黑体_GBK" w:cs="宋体"/>
          <w:sz w:val="15"/>
          <w:szCs w:val="20"/>
        </w:rPr>
        <w:t>本理财产品所拥有的所有资产及负债。</w:t>
      </w:r>
    </w:p>
    <w:p w14:paraId="5D6BDBE0">
      <w:pPr>
        <w:spacing w:line="200" w:lineRule="exact"/>
        <w:ind w:firstLine="300"/>
        <w:jc w:val="both"/>
      </w:pPr>
      <w:r>
        <w:rPr>
          <w:rFonts w:ascii="方正黑体_GBK" w:hAnsi="方正黑体_GBK" w:eastAsia="方正黑体_GBK" w:cs="宋体"/>
          <w:sz w:val="15"/>
          <w:szCs w:val="20"/>
        </w:rPr>
        <w:t>（三）估值目的</w:t>
      </w:r>
    </w:p>
    <w:p w14:paraId="16C80B89">
      <w:pPr>
        <w:spacing w:line="200" w:lineRule="exact"/>
        <w:ind w:firstLine="300"/>
        <w:jc w:val="both"/>
      </w:pPr>
      <w:r>
        <w:rPr>
          <w:rFonts w:ascii="方正黑体_GBK" w:hAnsi="方正黑体_GBK" w:eastAsia="方正黑体_GBK" w:cs="宋体"/>
          <w:sz w:val="15"/>
          <w:szCs w:val="20"/>
        </w:rPr>
        <w:t>客观、准确反映理财产品的价值。</w:t>
      </w:r>
    </w:p>
    <w:p w14:paraId="07D74F16">
      <w:pPr>
        <w:spacing w:line="200" w:lineRule="exact"/>
        <w:ind w:firstLine="300"/>
        <w:jc w:val="both"/>
      </w:pPr>
      <w:r>
        <w:rPr>
          <w:rFonts w:ascii="方正黑体_GBK" w:hAnsi="方正黑体_GBK" w:eastAsia="方正黑体_GBK" w:cs="宋体"/>
          <w:sz w:val="15"/>
          <w:szCs w:val="20"/>
        </w:rPr>
        <w:t>（四）估值原则</w:t>
      </w:r>
    </w:p>
    <w:p w14:paraId="63E21B4E">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2FA84B35">
      <w:pPr>
        <w:spacing w:line="200" w:lineRule="exact"/>
        <w:ind w:firstLine="300"/>
        <w:jc w:val="both"/>
      </w:pPr>
      <w:r>
        <w:rPr>
          <w:rFonts w:ascii="方正黑体_GBK" w:hAnsi="方正黑体_GBK" w:eastAsia="方正黑体_GBK" w:cs="宋体"/>
          <w:sz w:val="15"/>
          <w:szCs w:val="20"/>
        </w:rPr>
        <w:t>（五）估值方法</w:t>
      </w:r>
    </w:p>
    <w:p w14:paraId="66E128FE">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79528C1">
      <w:pPr>
        <w:spacing w:line="200" w:lineRule="exact"/>
        <w:ind w:firstLine="280"/>
        <w:jc w:val="left"/>
      </w:pPr>
      <w:r>
        <w:rPr>
          <w:rFonts w:ascii="方正黑体_GBK" w:hAnsi="方正黑体_GBK" w:eastAsia="方正黑体_GBK" w:cs="宋体"/>
          <w:sz w:val="15"/>
          <w:szCs w:val="20"/>
        </w:rPr>
        <w:t>1.银行存款、回购等货币市场工具</w:t>
      </w:r>
    </w:p>
    <w:p w14:paraId="1540B65A">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125AFAA5">
      <w:pPr>
        <w:spacing w:line="200" w:lineRule="exact"/>
        <w:ind w:firstLine="280"/>
        <w:jc w:val="left"/>
      </w:pPr>
      <w:r>
        <w:rPr>
          <w:rFonts w:ascii="方正黑体_GBK" w:hAnsi="方正黑体_GBK" w:eastAsia="方正黑体_GBK" w:cs="宋体"/>
          <w:color w:val="3D3D3D"/>
          <w:sz w:val="15"/>
          <w:szCs w:val="20"/>
        </w:rPr>
        <w:t>2.债券类资产</w:t>
      </w:r>
    </w:p>
    <w:p w14:paraId="405D4195">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725FAA57">
      <w:pPr>
        <w:spacing w:line="200" w:lineRule="exact"/>
        <w:ind w:firstLine="280"/>
        <w:jc w:val="left"/>
      </w:pPr>
      <w:r>
        <w:rPr>
          <w:rFonts w:ascii="方正黑体_GBK" w:hAnsi="方正黑体_GBK" w:eastAsia="方正黑体_GBK" w:cs="宋体"/>
          <w:color w:val="3D3D3D"/>
          <w:sz w:val="15"/>
          <w:szCs w:val="20"/>
        </w:rPr>
        <w:t>3.非标准化债权类资产</w:t>
      </w:r>
    </w:p>
    <w:p w14:paraId="149455ED">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731B6ACD">
      <w:pPr>
        <w:spacing w:line="200" w:lineRule="exact"/>
        <w:ind w:firstLine="280"/>
        <w:jc w:val="left"/>
      </w:pPr>
      <w:r>
        <w:rPr>
          <w:rFonts w:ascii="方正黑体_GBK" w:hAnsi="方正黑体_GBK" w:eastAsia="方正黑体_GBK" w:cs="宋体"/>
          <w:color w:val="3D3D3D"/>
          <w:sz w:val="15"/>
          <w:szCs w:val="20"/>
        </w:rPr>
        <w:t>4.证券投资基金</w:t>
      </w:r>
    </w:p>
    <w:p w14:paraId="48D0F160">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FC664C1">
      <w:pPr>
        <w:spacing w:line="200" w:lineRule="exact"/>
        <w:ind w:firstLine="280"/>
        <w:jc w:val="left"/>
      </w:pPr>
      <w:r>
        <w:rPr>
          <w:rFonts w:ascii="方正黑体_GBK" w:hAnsi="方正黑体_GBK" w:eastAsia="方正黑体_GBK" w:cs="宋体"/>
          <w:color w:val="3D3D3D"/>
          <w:sz w:val="15"/>
          <w:szCs w:val="20"/>
        </w:rPr>
        <w:t>5.股权类资产</w:t>
      </w:r>
    </w:p>
    <w:p w14:paraId="7DEE3C10">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049E72EB">
      <w:pPr>
        <w:spacing w:line="200" w:lineRule="exact"/>
        <w:ind w:firstLine="280"/>
        <w:jc w:val="left"/>
      </w:pPr>
      <w:r>
        <w:rPr>
          <w:rFonts w:ascii="方正黑体_GBK" w:hAnsi="方正黑体_GBK" w:eastAsia="方正黑体_GBK" w:cs="宋体"/>
          <w:color w:val="3D3D3D"/>
          <w:sz w:val="15"/>
          <w:szCs w:val="20"/>
        </w:rPr>
        <w:t>6.资管计划、信托计划等资产</w:t>
      </w:r>
    </w:p>
    <w:p w14:paraId="4BE54EC9">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6FBB7FCE">
      <w:pPr>
        <w:spacing w:line="200" w:lineRule="exact"/>
        <w:ind w:firstLine="280"/>
        <w:jc w:val="left"/>
      </w:pPr>
      <w:r>
        <w:rPr>
          <w:rFonts w:ascii="方正黑体_GBK" w:hAnsi="方正黑体_GBK" w:eastAsia="方正黑体_GBK" w:cs="宋体"/>
          <w:color w:val="3D3D3D"/>
          <w:sz w:val="15"/>
          <w:szCs w:val="20"/>
        </w:rPr>
        <w:t>7.其他资产</w:t>
      </w:r>
    </w:p>
    <w:p w14:paraId="6D2CB12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FC3ECC3">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62B80083">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774BB84F">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35F8FD28">
      <w:pPr>
        <w:spacing w:line="200" w:lineRule="exact"/>
        <w:ind w:firstLine="300"/>
        <w:jc w:val="both"/>
      </w:pPr>
      <w:r>
        <w:rPr>
          <w:rFonts w:ascii="方正黑体_GBK" w:hAnsi="方正黑体_GBK" w:eastAsia="方正黑体_GBK" w:cs="宋体"/>
          <w:sz w:val="15"/>
          <w:szCs w:val="20"/>
        </w:rPr>
        <w:t>（六）估值错误及暂停估值</w:t>
      </w:r>
    </w:p>
    <w:p w14:paraId="2035A7C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11EE13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FD4F27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A85727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522388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26B720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97D2C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881FCB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94AEF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15AC8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BC037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CC5E4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E8A0D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387BD3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AD29B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701C6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6BF54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3DF48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23678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DA7B1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CBE4A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EB287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2B534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80301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1367C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038598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C704C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5EAFA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5BC79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962E1E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869AF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583218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9EACC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84886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13BD3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493EA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B6954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371C5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6994E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AA191">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F4B5D9F5"/>
    <w:multiLevelType w:val="multilevel"/>
    <w:tmpl w:val="F4B5D9F5"/>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2470EC97"/>
    <w:multiLevelType w:val="multilevel"/>
    <w:tmpl w:val="2470EC97"/>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4D4DC07F"/>
    <w:multiLevelType w:val="multilevel"/>
    <w:tmpl w:val="4D4DC07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0"/>
  <w:defaultTabStop w:val="420"/>
  <w:drawingGridHorizontalSpacing w:val="1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rsids>
    <w:rsidRoot w:val="00000000"/>
    <w:rsid w:val="195326B3"/>
    <w:rsid w:val="34F33406"/>
    <w:rsid w:val="738329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632b91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615dc6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bc02a90"/>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aac6c7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a849b3e"/>
    <w:qFormat/>
    <w:uiPriority w:val="0"/>
  </w:style>
  <w:style w:type="paragraph" w:customStyle="1" w:styleId="20">
    <w:name w:val="toc 17c66bc8f"/>
    <w:basedOn w:val="15"/>
    <w:next w:val="1"/>
    <w:autoRedefine/>
    <w:qFormat/>
    <w:uiPriority w:val="0"/>
  </w:style>
  <w:style w:type="paragraph" w:customStyle="1" w:styleId="21">
    <w:name w:val="toc 25513754e"/>
    <w:basedOn w:val="15"/>
    <w:next w:val="1"/>
    <w:autoRedefine/>
    <w:qFormat/>
    <w:uiPriority w:val="0"/>
    <w:pPr>
      <w:ind w:left="420"/>
    </w:pPr>
  </w:style>
  <w:style w:type="paragraph" w:customStyle="1" w:styleId="22">
    <w:name w:val="toc 328483a89"/>
    <w:basedOn w:val="15"/>
    <w:next w:val="1"/>
    <w:autoRedefine/>
    <w:qFormat/>
    <w:uiPriority w:val="0"/>
    <w:pPr>
      <w:ind w:left="840"/>
    </w:pPr>
  </w:style>
  <w:style w:type="paragraph" w:customStyle="1" w:styleId="23">
    <w:name w:val="toc 4afc148d7"/>
    <w:basedOn w:val="15"/>
    <w:next w:val="1"/>
    <w:autoRedefine/>
    <w:qFormat/>
    <w:uiPriority w:val="0"/>
    <w:pPr>
      <w:ind w:left="1260"/>
    </w:pPr>
  </w:style>
  <w:style w:type="paragraph" w:customStyle="1" w:styleId="24">
    <w:name w:val="toc 5f69bba0f"/>
    <w:basedOn w:val="15"/>
    <w:next w:val="1"/>
    <w:autoRedefine/>
    <w:qFormat/>
    <w:uiPriority w:val="0"/>
    <w:pPr>
      <w:ind w:left="1680"/>
    </w:pPr>
  </w:style>
  <w:style w:type="paragraph" w:customStyle="1" w:styleId="25">
    <w:name w:val="headerb79d9e1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82f8e28"/>
    <w:basedOn w:val="15"/>
    <w:qFormat/>
    <w:uiPriority w:val="0"/>
    <w:pPr>
      <w:tabs>
        <w:tab w:val="center" w:pos="4153"/>
        <w:tab w:val="right" w:pos="8307"/>
      </w:tabs>
      <w:adjustRightInd/>
      <w:snapToGrid w:val="0"/>
      <w:contextualSpacing w:val="0"/>
      <w:jc w:val="left"/>
    </w:pPr>
    <w:rPr>
      <w:sz w:val="18"/>
    </w:rPr>
  </w:style>
  <w:style w:type="character" w:customStyle="1" w:styleId="27">
    <w:name w:val="Strongc921e832"/>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2c863d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42bacc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4f7b59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b11316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4e7df10"/>
    <w:qFormat/>
    <w:uiPriority w:val="0"/>
  </w:style>
  <w:style w:type="paragraph" w:customStyle="1" w:styleId="34">
    <w:name w:val="Normal Indente41db44c"/>
    <w:basedOn w:val="29"/>
    <w:qFormat/>
    <w:uiPriority w:val="0"/>
    <w:pPr>
      <w:ind w:firstLine="200" w:firstLineChars="200"/>
    </w:pPr>
  </w:style>
  <w:style w:type="paragraph" w:customStyle="1" w:styleId="35">
    <w:name w:val="toc 57e792162"/>
    <w:basedOn w:val="29"/>
    <w:next w:val="1"/>
    <w:qFormat/>
    <w:uiPriority w:val="0"/>
    <w:pPr>
      <w:ind w:left="1680"/>
    </w:pPr>
  </w:style>
  <w:style w:type="paragraph" w:customStyle="1" w:styleId="36">
    <w:name w:val="toc 3255c7aee"/>
    <w:basedOn w:val="29"/>
    <w:next w:val="1"/>
    <w:qFormat/>
    <w:uiPriority w:val="0"/>
    <w:pPr>
      <w:ind w:left="840"/>
    </w:pPr>
  </w:style>
  <w:style w:type="paragraph" w:customStyle="1" w:styleId="37">
    <w:name w:val="footer526d27c9"/>
    <w:basedOn w:val="29"/>
    <w:qFormat/>
    <w:uiPriority w:val="0"/>
    <w:pPr>
      <w:tabs>
        <w:tab w:val="center" w:pos="4153"/>
        <w:tab w:val="right" w:pos="8307"/>
      </w:tabs>
      <w:adjustRightInd/>
      <w:snapToGrid w:val="0"/>
      <w:contextualSpacing w:val="0"/>
      <w:jc w:val="left"/>
    </w:pPr>
    <w:rPr>
      <w:sz w:val="18"/>
    </w:rPr>
  </w:style>
  <w:style w:type="paragraph" w:customStyle="1" w:styleId="38">
    <w:name w:val="header81513f0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292412c"/>
    <w:basedOn w:val="29"/>
    <w:next w:val="1"/>
    <w:qFormat/>
    <w:uiPriority w:val="0"/>
  </w:style>
  <w:style w:type="paragraph" w:customStyle="1" w:styleId="40">
    <w:name w:val="toc 4e6806515"/>
    <w:basedOn w:val="29"/>
    <w:next w:val="1"/>
    <w:qFormat/>
    <w:uiPriority w:val="0"/>
    <w:pPr>
      <w:ind w:left="1260"/>
    </w:pPr>
  </w:style>
  <w:style w:type="paragraph" w:customStyle="1" w:styleId="41">
    <w:name w:val="toc 29d548eb7"/>
    <w:basedOn w:val="29"/>
    <w:next w:val="1"/>
    <w:qFormat/>
    <w:uiPriority w:val="0"/>
    <w:pPr>
      <w:ind w:left="420"/>
    </w:pPr>
  </w:style>
  <w:style w:type="paragraph" w:customStyle="1" w:styleId="42">
    <w:name w:val="Normal (Web)3a7a98d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8bb473278bb473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af4804adaf4804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81cc671681cc671"/>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4c1efa7e4c1efa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9ea20a2b9ea20a2"/>
    <w:qFormat/>
    <w:uiPriority w:val="0"/>
  </w:style>
  <w:style w:type="paragraph" w:customStyle="1" w:styleId="49">
    <w:name w:val="引文目录1a981de7da981de7d"/>
    <w:basedOn w:val="44"/>
    <w:next w:val="1"/>
    <w:qFormat/>
    <w:uiPriority w:val="0"/>
    <w:pPr>
      <w:ind w:left="200" w:leftChars="200"/>
    </w:pPr>
  </w:style>
  <w:style w:type="paragraph" w:customStyle="1" w:styleId="50">
    <w:name w:val="toc 52d82d43b2d82d43b"/>
    <w:basedOn w:val="44"/>
    <w:next w:val="1"/>
    <w:qFormat/>
    <w:uiPriority w:val="0"/>
    <w:pPr>
      <w:ind w:left="1680"/>
    </w:pPr>
  </w:style>
  <w:style w:type="paragraph" w:customStyle="1" w:styleId="51">
    <w:name w:val="toc 32a73edcb2a73edcb"/>
    <w:basedOn w:val="44"/>
    <w:next w:val="1"/>
    <w:qFormat/>
    <w:uiPriority w:val="0"/>
    <w:pPr>
      <w:ind w:left="840"/>
    </w:pPr>
  </w:style>
  <w:style w:type="paragraph" w:customStyle="1" w:styleId="52">
    <w:name w:val="footer6aa5f0106aa5f010"/>
    <w:basedOn w:val="44"/>
    <w:qFormat/>
    <w:uiPriority w:val="0"/>
    <w:pPr>
      <w:tabs>
        <w:tab w:val="center" w:pos="4153"/>
        <w:tab w:val="right" w:pos="8307"/>
      </w:tabs>
      <w:adjustRightInd/>
      <w:snapToGrid w:val="0"/>
      <w:contextualSpacing w:val="0"/>
      <w:jc w:val="left"/>
    </w:pPr>
    <w:rPr>
      <w:sz w:val="18"/>
    </w:rPr>
  </w:style>
  <w:style w:type="paragraph" w:customStyle="1" w:styleId="53">
    <w:name w:val="headera3620adaa3620ad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a19dacc1a19dacc"/>
    <w:basedOn w:val="44"/>
    <w:next w:val="1"/>
    <w:qFormat/>
    <w:uiPriority w:val="0"/>
  </w:style>
  <w:style w:type="paragraph" w:customStyle="1" w:styleId="55">
    <w:name w:val="toc 4f4773de5f4773de5"/>
    <w:basedOn w:val="44"/>
    <w:next w:val="1"/>
    <w:qFormat/>
    <w:uiPriority w:val="0"/>
    <w:pPr>
      <w:ind w:left="1260"/>
    </w:pPr>
  </w:style>
  <w:style w:type="paragraph" w:customStyle="1" w:styleId="56">
    <w:name w:val="toc 2e5f5f9dce5f5f9dc"/>
    <w:basedOn w:val="44"/>
    <w:next w:val="1"/>
    <w:qFormat/>
    <w:uiPriority w:val="0"/>
    <w:pPr>
      <w:ind w:left="420"/>
    </w:pPr>
  </w:style>
  <w:style w:type="paragraph" w:customStyle="1" w:styleId="57">
    <w:name w:val="列出段落1b9a314cab9a314c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21</Pages>
  <Words>4074</Words>
  <Characters>4086</Characters>
  <Lines>81</Lines>
  <Paragraphs>27</Paragraphs>
  <TotalTime>1</TotalTime>
  <ScaleCrop>false</ScaleCrop>
  <LinksUpToDate>false</LinksUpToDate>
  <CharactersWithSpaces>4087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PC</cp:lastModifiedBy>
  <dcterms:modified xsi:type="dcterms:W3CDTF">2025-12-26T02:49:55Z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61C6556EDD854D318A4F74048B7EFFF6_13</vt:lpwstr>
  </property>
</Properties>
</file>